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28B73" w14:textId="73F1DFC0" w:rsidR="008B5A56" w:rsidRDefault="008B5A56" w:rsidP="00810C3E">
      <w:pPr>
        <w:pStyle w:val="Title"/>
        <w:rPr>
          <w:rFonts w:ascii="Verdana" w:hAnsi="Verdana"/>
          <w:sz w:val="36"/>
          <w:szCs w:val="36"/>
          <w:lang w:eastAsia="en-AU"/>
        </w:rPr>
      </w:pPr>
      <w:r>
        <w:rPr>
          <w:noProof/>
        </w:rPr>
        <w:drawing>
          <wp:anchor distT="0" distB="0" distL="114300" distR="114300" simplePos="0" relativeHeight="251659264" behindDoc="1" locked="0" layoutInCell="1" allowOverlap="1" wp14:anchorId="3B736669" wp14:editId="2121BC97">
            <wp:simplePos x="0" y="0"/>
            <wp:positionH relativeFrom="margin">
              <wp:align>left</wp:align>
            </wp:positionH>
            <wp:positionV relativeFrom="paragraph">
              <wp:posOffset>12700</wp:posOffset>
            </wp:positionV>
            <wp:extent cx="1333500" cy="558165"/>
            <wp:effectExtent l="0" t="0" r="0" b="0"/>
            <wp:wrapTight wrapText="bothSides">
              <wp:wrapPolygon edited="0">
                <wp:start x="0" y="0"/>
                <wp:lineTo x="0" y="20642"/>
                <wp:lineTo x="21291" y="20642"/>
                <wp:lineTo x="21291" y="0"/>
                <wp:lineTo x="0" y="0"/>
              </wp:wrapPolygon>
            </wp:wrapTight>
            <wp:docPr id="978119197" name="Picture 1" descr="Logo South Pacific Educators in Vision Impairment (SPEVI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19197" name="Picture 1" descr="Logo South Pacific Educators in Vision Impairment (SPEVI Inc)"/>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558165"/>
                    </a:xfrm>
                    <a:prstGeom prst="rect">
                      <a:avLst/>
                    </a:prstGeom>
                  </pic:spPr>
                </pic:pic>
              </a:graphicData>
            </a:graphic>
            <wp14:sizeRelH relativeFrom="page">
              <wp14:pctWidth>0</wp14:pctWidth>
            </wp14:sizeRelH>
            <wp14:sizeRelV relativeFrom="page">
              <wp14:pctHeight>0</wp14:pctHeight>
            </wp14:sizeRelV>
          </wp:anchor>
        </w:drawing>
      </w:r>
    </w:p>
    <w:p w14:paraId="2730A06A" w14:textId="65F2060D" w:rsidR="008B5A56" w:rsidRDefault="008B5A56" w:rsidP="00810C3E">
      <w:pPr>
        <w:pStyle w:val="Title"/>
        <w:rPr>
          <w:rFonts w:ascii="Verdana" w:hAnsi="Verdana"/>
          <w:sz w:val="36"/>
          <w:szCs w:val="36"/>
          <w:lang w:eastAsia="en-AU"/>
        </w:rPr>
      </w:pPr>
    </w:p>
    <w:p w14:paraId="6966F83B" w14:textId="77777777" w:rsidR="008B5A56" w:rsidRDefault="008B5A56" w:rsidP="00810C3E">
      <w:pPr>
        <w:pStyle w:val="Title"/>
        <w:rPr>
          <w:rFonts w:ascii="Verdana" w:hAnsi="Verdana"/>
          <w:sz w:val="36"/>
          <w:szCs w:val="36"/>
          <w:lang w:eastAsia="en-AU"/>
        </w:rPr>
      </w:pPr>
    </w:p>
    <w:p w14:paraId="631CDFEA" w14:textId="21CAE14B" w:rsidR="005A2C7E" w:rsidRDefault="00BD1A1B" w:rsidP="00810C3E">
      <w:pPr>
        <w:pStyle w:val="Title"/>
        <w:rPr>
          <w:rFonts w:ascii="Verdana" w:hAnsi="Verdana"/>
          <w:sz w:val="36"/>
          <w:szCs w:val="36"/>
          <w:lang w:eastAsia="en-AU"/>
        </w:rPr>
      </w:pPr>
      <w:r w:rsidRPr="00810C3E">
        <w:rPr>
          <w:rFonts w:ascii="Verdana" w:hAnsi="Verdana"/>
          <w:sz w:val="36"/>
          <w:szCs w:val="36"/>
          <w:lang w:eastAsia="en-AU"/>
        </w:rPr>
        <w:t xml:space="preserve">Position Statement of the South Pacific Educators in Vision Impairment </w:t>
      </w:r>
      <w:r w:rsidR="00651460" w:rsidRPr="00810C3E">
        <w:rPr>
          <w:rFonts w:ascii="Verdana" w:hAnsi="Verdana"/>
          <w:sz w:val="36"/>
          <w:szCs w:val="36"/>
          <w:lang w:eastAsia="en-AU"/>
        </w:rPr>
        <w:t xml:space="preserve">Inc. </w:t>
      </w:r>
      <w:r w:rsidRPr="00810C3E">
        <w:rPr>
          <w:rFonts w:ascii="Verdana" w:hAnsi="Verdana"/>
          <w:sz w:val="36"/>
          <w:szCs w:val="36"/>
          <w:lang w:eastAsia="en-AU"/>
        </w:rPr>
        <w:t>on Braille Literacy in Australia</w:t>
      </w:r>
    </w:p>
    <w:p w14:paraId="62FC6655" w14:textId="4E329C33" w:rsidR="008B5A56" w:rsidRPr="008B5A56" w:rsidRDefault="008B5A56" w:rsidP="008B5A56">
      <w:pPr>
        <w:rPr>
          <w:lang w:eastAsia="en-AU"/>
        </w:rPr>
      </w:pPr>
      <w:r>
        <w:rPr>
          <w:lang w:eastAsia="en-AU"/>
        </w:rPr>
        <w:t>August 2024</w:t>
      </w:r>
    </w:p>
    <w:p w14:paraId="182F0DB7" w14:textId="77777777" w:rsidR="00810C3E" w:rsidRPr="00810C3E" w:rsidRDefault="00810C3E" w:rsidP="00810C3E">
      <w:pPr>
        <w:rPr>
          <w:lang w:eastAsia="en-AU"/>
        </w:rPr>
      </w:pPr>
    </w:p>
    <w:p w14:paraId="65C7121C" w14:textId="62694880" w:rsidR="005A2C7E" w:rsidRPr="00810C3E" w:rsidRDefault="000D0DA4" w:rsidP="00810C3E">
      <w:pPr>
        <w:pStyle w:val="Heading1"/>
      </w:pPr>
      <w:r w:rsidRPr="00810C3E">
        <w:t>Introduction</w:t>
      </w:r>
    </w:p>
    <w:p w14:paraId="463D33A0" w14:textId="26B4D316" w:rsidR="005745F2" w:rsidRPr="00810C3E" w:rsidRDefault="005A2C7E" w:rsidP="00810C3E">
      <w:pPr>
        <w:spacing w:line="360" w:lineRule="auto"/>
        <w:rPr>
          <w:lang w:eastAsia="en-AU"/>
        </w:rPr>
      </w:pPr>
      <w:r w:rsidRPr="00810C3E">
        <w:rPr>
          <w:lang w:eastAsia="en-AU"/>
        </w:rPr>
        <w:t xml:space="preserve">The South Pacific Educators in Vision Impairment (SPEVI) Inc. is the major professional association for educators of students with vision impairments in Australia, New Zealand, and the South Pacific region. SPEVI </w:t>
      </w:r>
      <w:r w:rsidR="00651460" w:rsidRPr="00810C3E">
        <w:rPr>
          <w:lang w:eastAsia="en-AU"/>
        </w:rPr>
        <w:t xml:space="preserve">Inc. </w:t>
      </w:r>
      <w:r w:rsidRPr="00810C3E">
        <w:rPr>
          <w:lang w:eastAsia="en-AU"/>
        </w:rPr>
        <w:t>acts as the professional body in matters pertaining to the education and support of persons who are blind</w:t>
      </w:r>
      <w:r w:rsidR="00BE28A2" w:rsidRPr="00810C3E">
        <w:rPr>
          <w:lang w:eastAsia="en-AU"/>
        </w:rPr>
        <w:t>, deaf-blind</w:t>
      </w:r>
      <w:r w:rsidRPr="00810C3E">
        <w:rPr>
          <w:lang w:eastAsia="en-AU"/>
        </w:rPr>
        <w:t>, have low vision,</w:t>
      </w:r>
      <w:r w:rsidR="00BE28A2" w:rsidRPr="00810C3E">
        <w:rPr>
          <w:lang w:eastAsia="en-AU"/>
        </w:rPr>
        <w:t xml:space="preserve"> with </w:t>
      </w:r>
      <w:r w:rsidRPr="00810C3E">
        <w:rPr>
          <w:lang w:eastAsia="en-AU"/>
        </w:rPr>
        <w:t xml:space="preserve">or </w:t>
      </w:r>
      <w:r w:rsidR="00BE28A2" w:rsidRPr="00810C3E">
        <w:rPr>
          <w:lang w:eastAsia="en-AU"/>
        </w:rPr>
        <w:t xml:space="preserve">without </w:t>
      </w:r>
      <w:r w:rsidRPr="00810C3E">
        <w:rPr>
          <w:lang w:eastAsia="en-AU"/>
        </w:rPr>
        <w:t xml:space="preserve">additional disabilities </w:t>
      </w:r>
      <w:r w:rsidR="00154F7F" w:rsidRPr="00810C3E">
        <w:rPr>
          <w:lang w:eastAsia="en-AU"/>
        </w:rPr>
        <w:t xml:space="preserve">(SPEVI, </w:t>
      </w:r>
      <w:r w:rsidR="001702FE" w:rsidRPr="00810C3E">
        <w:rPr>
          <w:lang w:eastAsia="en-AU"/>
        </w:rPr>
        <w:t>20</w:t>
      </w:r>
      <w:r w:rsidR="00810C3E" w:rsidRPr="00810C3E">
        <w:rPr>
          <w:lang w:eastAsia="en-AU"/>
        </w:rPr>
        <w:t>16</w:t>
      </w:r>
      <w:r w:rsidR="00154F7F" w:rsidRPr="00810C3E">
        <w:rPr>
          <w:lang w:eastAsia="en-AU"/>
        </w:rPr>
        <w:t>)</w:t>
      </w:r>
      <w:r w:rsidR="005745F2" w:rsidRPr="00810C3E">
        <w:rPr>
          <w:lang w:eastAsia="en-AU"/>
        </w:rPr>
        <w:t>.</w:t>
      </w:r>
      <w:r w:rsidR="00E30E19" w:rsidRPr="00810C3E">
        <w:rPr>
          <w:lang w:eastAsia="en-AU"/>
        </w:rPr>
        <w:t xml:space="preserve"> This SPEVI </w:t>
      </w:r>
      <w:r w:rsidR="00651460" w:rsidRPr="00810C3E">
        <w:rPr>
          <w:lang w:eastAsia="en-AU"/>
        </w:rPr>
        <w:t xml:space="preserve">Inc. </w:t>
      </w:r>
      <w:r w:rsidR="00E30E19" w:rsidRPr="00810C3E">
        <w:rPr>
          <w:lang w:eastAsia="en-AU"/>
        </w:rPr>
        <w:t>Position Statement addresses braille literacy in Australia.</w:t>
      </w:r>
    </w:p>
    <w:p w14:paraId="7D8C20CB" w14:textId="386BB831" w:rsidR="00E16654" w:rsidRPr="00810C3E" w:rsidRDefault="00E16654" w:rsidP="00810C3E">
      <w:pPr>
        <w:spacing w:line="360" w:lineRule="auto"/>
        <w:rPr>
          <w:szCs w:val="24"/>
          <w:lang w:eastAsia="en-AU"/>
        </w:rPr>
      </w:pPr>
      <w:r w:rsidRPr="00810C3E">
        <w:rPr>
          <w:color w:val="242424"/>
          <w:szCs w:val="24"/>
          <w:shd w:val="clear" w:color="auto" w:fill="FFFFFF"/>
        </w:rPr>
        <w:t xml:space="preserve">As a reflection of the diversity in the ways in which individuals with lived experience of vision impairment identify themselves, a range of terms have been used within this document to refer to them. These terms include ‘people who are blind or have low vision’, ‘people with vision impairment’, </w:t>
      </w:r>
      <w:r w:rsidR="001702FE" w:rsidRPr="00810C3E">
        <w:rPr>
          <w:color w:val="242424"/>
          <w:szCs w:val="24"/>
          <w:shd w:val="clear" w:color="auto" w:fill="FFFFFF"/>
        </w:rPr>
        <w:t xml:space="preserve">and </w:t>
      </w:r>
      <w:r w:rsidRPr="00810C3E">
        <w:rPr>
          <w:color w:val="242424"/>
          <w:szCs w:val="24"/>
          <w:shd w:val="clear" w:color="auto" w:fill="FFFFFF"/>
        </w:rPr>
        <w:t>‘people who are vision impaired’.</w:t>
      </w:r>
    </w:p>
    <w:p w14:paraId="74876BA9" w14:textId="77777777" w:rsidR="005745F2" w:rsidRPr="00810C3E" w:rsidRDefault="005745F2" w:rsidP="00810C3E">
      <w:pPr>
        <w:pStyle w:val="Heading1"/>
      </w:pPr>
      <w:r w:rsidRPr="00810C3E">
        <w:t xml:space="preserve">Rationale </w:t>
      </w:r>
    </w:p>
    <w:p w14:paraId="3E22BA79" w14:textId="613892E3" w:rsidR="00EA5325" w:rsidRPr="00810C3E" w:rsidRDefault="00EA5325" w:rsidP="00810C3E">
      <w:pPr>
        <w:spacing w:line="360" w:lineRule="auto"/>
      </w:pPr>
      <w:r w:rsidRPr="00810C3E">
        <w:t>SPEVI</w:t>
      </w:r>
      <w:r w:rsidR="005D5047" w:rsidRPr="00810C3E">
        <w:t xml:space="preserve"> Inc.</w:t>
      </w:r>
      <w:r w:rsidRPr="00810C3E">
        <w:t xml:space="preserve"> endorses the right of children and young people with vision impairment to learn and use braille, as </w:t>
      </w:r>
      <w:r w:rsidR="002B4D10" w:rsidRPr="00810C3E">
        <w:t>proclaimed</w:t>
      </w:r>
      <w:r w:rsidRPr="00810C3E">
        <w:t xml:space="preserve"> in the United Nations Convention on the Rights of Persons with Disabilities</w:t>
      </w:r>
      <w:r w:rsidR="00BD1A1B" w:rsidRPr="00810C3E">
        <w:t xml:space="preserve"> (UNCRPD)</w:t>
      </w:r>
      <w:r w:rsidRPr="00810C3E">
        <w:t xml:space="preserve"> (United Nations</w:t>
      </w:r>
      <w:r w:rsidR="00BD1A1B" w:rsidRPr="00810C3E">
        <w:t>,</w:t>
      </w:r>
      <w:r w:rsidRPr="00810C3E">
        <w:t xml:space="preserve"> 2006</w:t>
      </w:r>
      <w:r w:rsidR="00BD1A1B" w:rsidRPr="00810C3E">
        <w:t xml:space="preserve">). </w:t>
      </w:r>
      <w:r w:rsidR="00C24CE3" w:rsidRPr="00810C3E">
        <w:t>Article 24.4 of the</w:t>
      </w:r>
      <w:r w:rsidRPr="00810C3E">
        <w:t xml:space="preserve"> UNCRPD recognises braille as a means of communication and social inclusion and emphasises the teaching and production of braille by </w:t>
      </w:r>
      <w:r w:rsidR="00BA20FB" w:rsidRPr="00810C3E">
        <w:t>qualified</w:t>
      </w:r>
      <w:r w:rsidRPr="00810C3E">
        <w:t xml:space="preserve"> people who have the appropriate skills and experience. The World Blind Union</w:t>
      </w:r>
      <w:r w:rsidR="00BD1A1B" w:rsidRPr="00810C3E">
        <w:t xml:space="preserve"> </w:t>
      </w:r>
      <w:r w:rsidRPr="00810C3E">
        <w:t xml:space="preserve">and International Council for Education of </w:t>
      </w:r>
      <w:r w:rsidRPr="00810C3E">
        <w:lastRenderedPageBreak/>
        <w:t>People with Visual Impairment (</w:t>
      </w:r>
      <w:r w:rsidR="001702FE" w:rsidRPr="00810C3E">
        <w:t>2016</w:t>
      </w:r>
      <w:r w:rsidR="00BD1A1B" w:rsidRPr="00810C3E">
        <w:t xml:space="preserve">) </w:t>
      </w:r>
      <w:r w:rsidRPr="00810C3E">
        <w:t>emphasise the ability to read and write braille is a key to attaining literacy, independence and full participation for persons who are blind.</w:t>
      </w:r>
    </w:p>
    <w:p w14:paraId="3481E63B" w14:textId="489A1357" w:rsidR="00BD1A1B" w:rsidRPr="00810C3E" w:rsidRDefault="00EA5325" w:rsidP="00810C3E">
      <w:pPr>
        <w:spacing w:line="360" w:lineRule="auto"/>
      </w:pPr>
      <w:r w:rsidRPr="00810C3E">
        <w:t>Anecdotal evidence suggests</w:t>
      </w:r>
      <w:r w:rsidR="00AE699B" w:rsidRPr="00810C3E">
        <w:t xml:space="preserve"> Australian students are provided with variable instruction in </w:t>
      </w:r>
      <w:r w:rsidR="00BD1A1B" w:rsidRPr="00810C3E">
        <w:t>b</w:t>
      </w:r>
      <w:r w:rsidR="00AE699B" w:rsidRPr="00810C3E">
        <w:t xml:space="preserve">raille. </w:t>
      </w:r>
      <w:r w:rsidRPr="00810C3E">
        <w:t xml:space="preserve">This variability </w:t>
      </w:r>
      <w:r w:rsidR="00AE699B" w:rsidRPr="00810C3E">
        <w:t xml:space="preserve">of quantity and quality </w:t>
      </w:r>
      <w:r w:rsidRPr="00810C3E">
        <w:t xml:space="preserve">exists across Australian states and territories, government and non-government education sectors, </w:t>
      </w:r>
      <w:r w:rsidR="00BD1A1B" w:rsidRPr="00810C3E">
        <w:t>and metropolitan, rural and regional</w:t>
      </w:r>
      <w:r w:rsidRPr="00810C3E">
        <w:t xml:space="preserve"> </w:t>
      </w:r>
      <w:r w:rsidR="00BD1A1B" w:rsidRPr="00810C3E">
        <w:t>areas</w:t>
      </w:r>
      <w:r w:rsidRPr="00810C3E">
        <w:t xml:space="preserve">. The variability </w:t>
      </w:r>
      <w:r w:rsidR="00BD1A1B" w:rsidRPr="00810C3E">
        <w:t xml:space="preserve">is </w:t>
      </w:r>
      <w:r w:rsidRPr="00810C3E">
        <w:t xml:space="preserve">associated with </w:t>
      </w:r>
      <w:r w:rsidR="00BD1A1B" w:rsidRPr="00810C3E">
        <w:t>several factors. These factors include:</w:t>
      </w:r>
    </w:p>
    <w:p w14:paraId="5F8B987A" w14:textId="053C131B" w:rsidR="00BD1A1B" w:rsidRPr="00810C3E" w:rsidRDefault="00BD1A1B" w:rsidP="00810C3E">
      <w:pPr>
        <w:pStyle w:val="ListParagraph"/>
        <w:numPr>
          <w:ilvl w:val="0"/>
          <w:numId w:val="15"/>
        </w:numPr>
        <w:spacing w:line="360" w:lineRule="auto"/>
      </w:pPr>
      <w:r w:rsidRPr="00810C3E">
        <w:t xml:space="preserve">the sufficient training, </w:t>
      </w:r>
      <w:r w:rsidR="00EA5325" w:rsidRPr="00810C3E">
        <w:t>recruitment, and retention of qualified braille teachers</w:t>
      </w:r>
    </w:p>
    <w:p w14:paraId="1013CBFA" w14:textId="398D8535" w:rsidR="00EA5325" w:rsidRPr="00810C3E" w:rsidRDefault="00BD1A1B" w:rsidP="00810C3E">
      <w:pPr>
        <w:pStyle w:val="ListParagraph"/>
        <w:numPr>
          <w:ilvl w:val="0"/>
          <w:numId w:val="15"/>
        </w:numPr>
        <w:spacing w:line="360" w:lineRule="auto"/>
      </w:pPr>
      <w:r w:rsidRPr="00810C3E">
        <w:t>the policies and practices regarding the education of students with vision impairment, including the workloads</w:t>
      </w:r>
      <w:r w:rsidR="00EA5325" w:rsidRPr="00810C3E">
        <w:t xml:space="preserve"> of Specialist Teachers (Vision</w:t>
      </w:r>
      <w:r w:rsidR="001B33C7" w:rsidRPr="00810C3E">
        <w:t xml:space="preserve"> </w:t>
      </w:r>
      <w:r w:rsidR="005D5047" w:rsidRPr="00810C3E">
        <w:t>Impairment</w:t>
      </w:r>
      <w:r w:rsidR="00EA5325" w:rsidRPr="00810C3E">
        <w:t>) who provide braille literacy and numeracy instruction for preschool and school</w:t>
      </w:r>
      <w:r w:rsidRPr="00810C3E">
        <w:t>-</w:t>
      </w:r>
      <w:r w:rsidR="00EA5325" w:rsidRPr="00810C3E">
        <w:t>age</w:t>
      </w:r>
      <w:r w:rsidRPr="00810C3E">
        <w:t>d</w:t>
      </w:r>
      <w:r w:rsidR="00EA5325" w:rsidRPr="00810C3E">
        <w:t xml:space="preserve"> children learning braille</w:t>
      </w:r>
      <w:r w:rsidR="00C24CE3" w:rsidRPr="00810C3E">
        <w:t>; and</w:t>
      </w:r>
    </w:p>
    <w:p w14:paraId="002563F7" w14:textId="165BA454" w:rsidR="00C24CE3" w:rsidRPr="00810C3E" w:rsidRDefault="00C24CE3" w:rsidP="00810C3E">
      <w:pPr>
        <w:pStyle w:val="ListParagraph"/>
        <w:numPr>
          <w:ilvl w:val="0"/>
          <w:numId w:val="15"/>
        </w:numPr>
        <w:spacing w:line="360" w:lineRule="auto"/>
      </w:pPr>
      <w:r w:rsidRPr="00810C3E">
        <w:t xml:space="preserve">the tyranny of distance affecting the service provision for students located in remote locations. </w:t>
      </w:r>
    </w:p>
    <w:p w14:paraId="210EB0EA" w14:textId="78275816" w:rsidR="005A2C7E" w:rsidRPr="00810C3E" w:rsidRDefault="005745F2" w:rsidP="00810C3E">
      <w:pPr>
        <w:pStyle w:val="Heading1"/>
      </w:pPr>
      <w:r w:rsidRPr="00810C3E">
        <w:t>Aims</w:t>
      </w:r>
      <w:r w:rsidR="005A2C7E" w:rsidRPr="00810C3E">
        <w:t>  </w:t>
      </w:r>
    </w:p>
    <w:p w14:paraId="3CCFFD4C" w14:textId="6CB5A5E8" w:rsidR="003947BF" w:rsidRPr="00810C3E" w:rsidRDefault="003947BF" w:rsidP="00810C3E">
      <w:pPr>
        <w:spacing w:line="360" w:lineRule="auto"/>
      </w:pPr>
      <w:r w:rsidRPr="00810C3E">
        <w:t>In this statement, SPEVI</w:t>
      </w:r>
      <w:r w:rsidR="00651460" w:rsidRPr="00810C3E">
        <w:t xml:space="preserve"> Inc. </w:t>
      </w:r>
      <w:r w:rsidR="005D5047" w:rsidRPr="00810C3E">
        <w:t>s</w:t>
      </w:r>
      <w:r w:rsidRPr="00810C3E">
        <w:t>ets out its position on braille literacy</w:t>
      </w:r>
      <w:r w:rsidR="00E30E19" w:rsidRPr="00810C3E">
        <w:t xml:space="preserve"> in Australia</w:t>
      </w:r>
      <w:r w:rsidRPr="00810C3E">
        <w:t>. The aims of the Position Statement are to:</w:t>
      </w:r>
    </w:p>
    <w:p w14:paraId="12352806" w14:textId="0FAAB0D7" w:rsidR="003947BF" w:rsidRPr="00810C3E" w:rsidRDefault="003947BF" w:rsidP="00810C3E">
      <w:pPr>
        <w:pStyle w:val="ListParagraph"/>
        <w:numPr>
          <w:ilvl w:val="0"/>
          <w:numId w:val="12"/>
        </w:numPr>
        <w:spacing w:line="360" w:lineRule="auto"/>
        <w:ind w:left="714" w:hanging="357"/>
      </w:pPr>
      <w:r w:rsidRPr="00810C3E">
        <w:t>Make explicit the importance of quality instruction in braille literacy and numeracy for preschool and school-age</w:t>
      </w:r>
      <w:r w:rsidR="00C24CE3" w:rsidRPr="00810C3E">
        <w:t>d</w:t>
      </w:r>
      <w:r w:rsidRPr="00810C3E">
        <w:t xml:space="preserve"> students with vision impairment, as a means of ensuring their equitable inclusion in education, employment and society</w:t>
      </w:r>
    </w:p>
    <w:p w14:paraId="1C4D38BC" w14:textId="0F8F8443" w:rsidR="003947BF" w:rsidRPr="00810C3E" w:rsidRDefault="003947BF" w:rsidP="00810C3E">
      <w:pPr>
        <w:pStyle w:val="ListParagraph"/>
        <w:numPr>
          <w:ilvl w:val="0"/>
          <w:numId w:val="12"/>
        </w:numPr>
        <w:spacing w:line="360" w:lineRule="auto"/>
        <w:ind w:left="714" w:hanging="357"/>
      </w:pPr>
      <w:r w:rsidRPr="00810C3E">
        <w:t>Advocate for improved student access</w:t>
      </w:r>
      <w:r w:rsidR="00803EEC" w:rsidRPr="00810C3E">
        <w:t xml:space="preserve"> to</w:t>
      </w:r>
      <w:r w:rsidRPr="00810C3E">
        <w:t xml:space="preserve"> and support for braille education</w:t>
      </w:r>
      <w:r w:rsidR="00803EEC" w:rsidRPr="00810C3E">
        <w:t xml:space="preserve"> by </w:t>
      </w:r>
      <w:r w:rsidR="005D5047" w:rsidRPr="00810C3E">
        <w:t xml:space="preserve">Specialist Teachers (Vision Impairment) </w:t>
      </w:r>
      <w:r w:rsidR="00803EEC" w:rsidRPr="00810C3E">
        <w:t>as per UNCRPD</w:t>
      </w:r>
      <w:r w:rsidR="00AE699B" w:rsidRPr="00810C3E">
        <w:t xml:space="preserve"> Article 24.4</w:t>
      </w:r>
      <w:r w:rsidR="00803EEC" w:rsidRPr="00810C3E">
        <w:t xml:space="preserve"> </w:t>
      </w:r>
    </w:p>
    <w:p w14:paraId="598653DF" w14:textId="77777777" w:rsidR="003947BF" w:rsidRPr="00810C3E" w:rsidRDefault="003947BF" w:rsidP="00810C3E">
      <w:pPr>
        <w:pStyle w:val="ListParagraph"/>
        <w:numPr>
          <w:ilvl w:val="0"/>
          <w:numId w:val="12"/>
        </w:numPr>
        <w:spacing w:line="360" w:lineRule="auto"/>
        <w:ind w:left="714" w:hanging="357"/>
      </w:pPr>
      <w:r w:rsidRPr="00810C3E">
        <w:lastRenderedPageBreak/>
        <w:t>Present a Call to Action to Australian state and territory governments, and government and non-government education sectors to:</w:t>
      </w:r>
    </w:p>
    <w:p w14:paraId="114C681C" w14:textId="02DAC3F6" w:rsidR="003947BF" w:rsidRPr="00810C3E" w:rsidRDefault="00B23B99" w:rsidP="00810C3E">
      <w:pPr>
        <w:pStyle w:val="ListParagraph"/>
        <w:numPr>
          <w:ilvl w:val="0"/>
          <w:numId w:val="11"/>
        </w:numPr>
        <w:spacing w:line="360" w:lineRule="auto"/>
        <w:ind w:left="1276" w:hanging="357"/>
      </w:pPr>
      <w:r w:rsidRPr="00810C3E">
        <w:t>support professional learning</w:t>
      </w:r>
      <w:r w:rsidR="003947BF" w:rsidRPr="00810C3E">
        <w:t xml:space="preserve"> in braille literacy and numeracy for </w:t>
      </w:r>
      <w:r w:rsidRPr="00810C3E">
        <w:t>classroom</w:t>
      </w:r>
      <w:r w:rsidR="003947BF" w:rsidRPr="00810C3E">
        <w:t xml:space="preserve"> teachers of students with vision impairment,</w:t>
      </w:r>
    </w:p>
    <w:p w14:paraId="3B42A256" w14:textId="79BF3AAF" w:rsidR="003947BF" w:rsidRPr="00810C3E" w:rsidRDefault="003947BF" w:rsidP="00810C3E">
      <w:pPr>
        <w:pStyle w:val="ListParagraph"/>
        <w:numPr>
          <w:ilvl w:val="0"/>
          <w:numId w:val="11"/>
        </w:numPr>
        <w:spacing w:line="360" w:lineRule="auto"/>
        <w:ind w:left="1276" w:hanging="357"/>
      </w:pPr>
      <w:r w:rsidRPr="00810C3E">
        <w:t xml:space="preserve">recruit and adequately remunerate </w:t>
      </w:r>
      <w:r w:rsidR="005D5047" w:rsidRPr="00810C3E">
        <w:t>Specialist Teachers (Vision Impairment)</w:t>
      </w:r>
      <w:r w:rsidRPr="00810C3E">
        <w:t xml:space="preserve"> who are </w:t>
      </w:r>
      <w:r w:rsidR="00BA20FB" w:rsidRPr="00810C3E">
        <w:t>qualified</w:t>
      </w:r>
      <w:r w:rsidRPr="00810C3E">
        <w:t xml:space="preserve"> in braille literacy and numeracy to provide direct teaching to students who are learning braille, and </w:t>
      </w:r>
    </w:p>
    <w:p w14:paraId="065A7E82" w14:textId="5267E634" w:rsidR="003947BF" w:rsidRPr="00810C3E" w:rsidRDefault="003947BF" w:rsidP="00810C3E">
      <w:pPr>
        <w:pStyle w:val="ListParagraph"/>
        <w:numPr>
          <w:ilvl w:val="0"/>
          <w:numId w:val="11"/>
        </w:numPr>
        <w:spacing w:line="360" w:lineRule="auto"/>
        <w:ind w:left="1276" w:hanging="357"/>
      </w:pPr>
      <w:r w:rsidRPr="00810C3E">
        <w:t>ensure student</w:t>
      </w:r>
      <w:r w:rsidR="00C24CE3" w:rsidRPr="00810C3E">
        <w:t>-</w:t>
      </w:r>
      <w:r w:rsidR="00BA20FB" w:rsidRPr="00810C3E">
        <w:t>to</w:t>
      </w:r>
      <w:r w:rsidR="00C24CE3" w:rsidRPr="00810C3E">
        <w:t>-</w:t>
      </w:r>
      <w:r w:rsidRPr="00810C3E">
        <w:t>teacher caseloads for students learning braille are aligned with the time allocated for literacy and numeracy instruction as mandated by the Australian Curriculum, Assessment and Reporting Authority</w:t>
      </w:r>
      <w:r w:rsidR="00D043EB" w:rsidRPr="00810C3E">
        <w:t xml:space="preserve"> </w:t>
      </w:r>
      <w:r w:rsidRPr="00810C3E">
        <w:t xml:space="preserve">(2016). </w:t>
      </w:r>
    </w:p>
    <w:p w14:paraId="5106019E" w14:textId="4234E0E4" w:rsidR="005A2C7E" w:rsidRPr="00810C3E" w:rsidRDefault="005A2C7E" w:rsidP="00810C3E">
      <w:pPr>
        <w:spacing w:line="360" w:lineRule="auto"/>
        <w:rPr>
          <w:lang w:eastAsia="en-AU"/>
        </w:rPr>
      </w:pPr>
      <w:r w:rsidRPr="00810C3E">
        <w:rPr>
          <w:shd w:val="clear" w:color="auto" w:fill="FFFFFF"/>
          <w:lang w:eastAsia="en-AU"/>
        </w:rPr>
        <w:t>This statement address</w:t>
      </w:r>
      <w:r w:rsidR="00AE699B" w:rsidRPr="00810C3E">
        <w:t>es</w:t>
      </w:r>
      <w:r w:rsidR="00BA20FB" w:rsidRPr="00810C3E">
        <w:t xml:space="preserve"> the challenges, gaps and opportunities in braille education, promoting the right of students with vision impairment to </w:t>
      </w:r>
      <w:r w:rsidR="00C24CE3" w:rsidRPr="00810C3E">
        <w:t xml:space="preserve">an equitable education </w:t>
      </w:r>
      <w:r w:rsidR="002379B9" w:rsidRPr="00810C3E">
        <w:t>in</w:t>
      </w:r>
      <w:r w:rsidR="00C24CE3" w:rsidRPr="00810C3E">
        <w:t xml:space="preserve"> literacy and numeracy</w:t>
      </w:r>
      <w:r w:rsidR="00803EEC" w:rsidRPr="00810C3E">
        <w:t>. It</w:t>
      </w:r>
      <w:r w:rsidR="00BA20FB" w:rsidRPr="00810C3E">
        <w:t xml:space="preserve"> </w:t>
      </w:r>
      <w:r w:rsidR="00BA20FB" w:rsidRPr="00810C3E">
        <w:rPr>
          <w:shd w:val="clear" w:color="auto" w:fill="FFFFFF"/>
          <w:lang w:eastAsia="en-AU"/>
        </w:rPr>
        <w:t>seeks to advocate for recognition of, improved access to</w:t>
      </w:r>
      <w:r w:rsidR="00E30E19" w:rsidRPr="00810C3E">
        <w:rPr>
          <w:shd w:val="clear" w:color="auto" w:fill="FFFFFF"/>
          <w:lang w:eastAsia="en-AU"/>
        </w:rPr>
        <w:t>,</w:t>
      </w:r>
      <w:r w:rsidR="00BA20FB" w:rsidRPr="00810C3E">
        <w:rPr>
          <w:shd w:val="clear" w:color="auto" w:fill="FFFFFF"/>
          <w:lang w:eastAsia="en-AU"/>
        </w:rPr>
        <w:t xml:space="preserve"> and support for</w:t>
      </w:r>
      <w:r w:rsidR="00E30E19" w:rsidRPr="00810C3E">
        <w:rPr>
          <w:shd w:val="clear" w:color="auto" w:fill="FFFFFF"/>
          <w:lang w:eastAsia="en-AU"/>
        </w:rPr>
        <w:t>,</w:t>
      </w:r>
      <w:r w:rsidR="00BA20FB" w:rsidRPr="00810C3E" w:rsidDel="00BA20FB">
        <w:rPr>
          <w:shd w:val="clear" w:color="auto" w:fill="FFFFFF"/>
          <w:lang w:eastAsia="en-AU"/>
        </w:rPr>
        <w:t xml:space="preserve"> </w:t>
      </w:r>
      <w:r w:rsidR="00C24CE3" w:rsidRPr="00810C3E">
        <w:rPr>
          <w:shd w:val="clear" w:color="auto" w:fill="FFFFFF"/>
          <w:lang w:eastAsia="en-AU"/>
        </w:rPr>
        <w:t>b</w:t>
      </w:r>
      <w:r w:rsidRPr="00810C3E">
        <w:rPr>
          <w:shd w:val="clear" w:color="auto" w:fill="FFFFFF"/>
          <w:lang w:eastAsia="en-AU"/>
        </w:rPr>
        <w:t xml:space="preserve">raille </w:t>
      </w:r>
      <w:r w:rsidR="00156B72" w:rsidRPr="00810C3E">
        <w:rPr>
          <w:shd w:val="clear" w:color="auto" w:fill="FFFFFF"/>
          <w:lang w:eastAsia="en-AU"/>
        </w:rPr>
        <w:t xml:space="preserve">literacy </w:t>
      </w:r>
      <w:r w:rsidRPr="00810C3E">
        <w:rPr>
          <w:shd w:val="clear" w:color="auto" w:fill="FFFFFF"/>
          <w:lang w:eastAsia="en-AU"/>
        </w:rPr>
        <w:t>as a fundamental tool for communication and education</w:t>
      </w:r>
      <w:r w:rsidR="00BA20FB" w:rsidRPr="00810C3E">
        <w:rPr>
          <w:shd w:val="clear" w:color="auto" w:fill="FFFFFF"/>
          <w:lang w:eastAsia="en-AU"/>
        </w:rPr>
        <w:t xml:space="preserve">. </w:t>
      </w:r>
    </w:p>
    <w:p w14:paraId="2DCA95FD" w14:textId="46920E5E" w:rsidR="005A2C7E" w:rsidRPr="00810C3E" w:rsidRDefault="005A2C7E" w:rsidP="00810C3E">
      <w:pPr>
        <w:pStyle w:val="Heading1"/>
      </w:pPr>
      <w:r w:rsidRPr="00810C3E">
        <w:rPr>
          <w:shd w:val="clear" w:color="auto" w:fill="FFFFFF"/>
        </w:rPr>
        <w:t>Definition of Literacy </w:t>
      </w:r>
    </w:p>
    <w:p w14:paraId="19BA8402" w14:textId="04F2DCE2" w:rsidR="00C24CE3" w:rsidRPr="00810C3E" w:rsidRDefault="00C24CE3" w:rsidP="00810C3E">
      <w:pPr>
        <w:spacing w:line="360" w:lineRule="auto"/>
      </w:pPr>
      <w:r w:rsidRPr="00810C3E">
        <w:t xml:space="preserve">Literacy is a complex capability that can be understood through a range of definitions. SPEVI </w:t>
      </w:r>
      <w:r w:rsidR="002379B9" w:rsidRPr="00810C3E">
        <w:t xml:space="preserve">Inc. </w:t>
      </w:r>
      <w:r w:rsidRPr="00810C3E">
        <w:t xml:space="preserve">adopts the definitions used below to describe the types of abilities that are developed through the learning </w:t>
      </w:r>
      <w:r w:rsidR="009022C1" w:rsidRPr="00810C3E">
        <w:t xml:space="preserve">and use </w:t>
      </w:r>
      <w:r w:rsidRPr="00810C3E">
        <w:t>of braille</w:t>
      </w:r>
      <w:r w:rsidR="003335F6" w:rsidRPr="00810C3E">
        <w:t xml:space="preserve">, as SPEVI </w:t>
      </w:r>
      <w:r w:rsidR="002379B9" w:rsidRPr="00810C3E">
        <w:t xml:space="preserve">Inc. </w:t>
      </w:r>
      <w:r w:rsidR="003335F6" w:rsidRPr="00810C3E">
        <w:t xml:space="preserve">believes that braille literacy is equivalent to </w:t>
      </w:r>
      <w:r w:rsidR="002379B9" w:rsidRPr="00810C3E">
        <w:t xml:space="preserve">print </w:t>
      </w:r>
      <w:r w:rsidR="003335F6" w:rsidRPr="00810C3E">
        <w:t>literacy</w:t>
      </w:r>
      <w:r w:rsidRPr="00810C3E">
        <w:t xml:space="preserve">. </w:t>
      </w:r>
    </w:p>
    <w:p w14:paraId="351AE5BC" w14:textId="2C539BCE" w:rsidR="005A2C7E" w:rsidRPr="00810C3E" w:rsidRDefault="00C24CE3" w:rsidP="00810C3E">
      <w:pPr>
        <w:spacing w:line="360" w:lineRule="auto"/>
        <w:rPr>
          <w:rFonts w:eastAsia="Times New Roman" w:cs="Segoe UI"/>
          <w:kern w:val="0"/>
          <w:lang w:eastAsia="en-AU"/>
          <w14:ligatures w14:val="none"/>
        </w:rPr>
      </w:pPr>
      <w:r w:rsidRPr="00810C3E">
        <w:t>The United Nations Educational, Scientific, and Cultural Organization (UNESCO) defines</w:t>
      </w:r>
      <w:r w:rsidR="0066282D" w:rsidRPr="00810C3E">
        <w:rPr>
          <w:rFonts w:eastAsia="Times New Roman" w:cs="Segoe UI"/>
          <w:kern w:val="0"/>
          <w:lang w:eastAsia="en-AU"/>
          <w14:ligatures w14:val="none"/>
        </w:rPr>
        <w:t xml:space="preserve"> </w:t>
      </w:r>
      <w:r w:rsidRPr="00810C3E">
        <w:rPr>
          <w:rFonts w:eastAsia="Times New Roman" w:cs="Segoe UI"/>
          <w:kern w:val="0"/>
          <w:lang w:eastAsia="en-AU"/>
          <w14:ligatures w14:val="none"/>
        </w:rPr>
        <w:t>l</w:t>
      </w:r>
      <w:r w:rsidR="0066282D" w:rsidRPr="00810C3E">
        <w:t xml:space="preserve">iteracy </w:t>
      </w:r>
      <w:r w:rsidRPr="00810C3E">
        <w:t>as “</w:t>
      </w:r>
      <w:r w:rsidR="0066282D" w:rsidRPr="00810C3E">
        <w:t>a continuum of learning and proficiency in reading, writing and using numbers throughout life” (202</w:t>
      </w:r>
      <w:r w:rsidR="00050646" w:rsidRPr="00810C3E">
        <w:t>4</w:t>
      </w:r>
      <w:r w:rsidR="0066282D" w:rsidRPr="00810C3E">
        <w:t xml:space="preserve">). </w:t>
      </w:r>
      <w:r w:rsidR="005A2C7E" w:rsidRPr="00810C3E">
        <w:rPr>
          <w:rFonts w:eastAsia="Times New Roman" w:cs="Segoe UI"/>
          <w:kern w:val="0"/>
          <w:lang w:eastAsia="en-AU"/>
          <w14:ligatures w14:val="none"/>
        </w:rPr>
        <w:t xml:space="preserve"> It extends beyond fundamental reading and writing abilities to include understanding, analysing and extracting meaning from information presented in various formats such as texts, symbols and visuals. Literacy involves critical thinking, comprehensive understanding, and application of knowledge in </w:t>
      </w:r>
      <w:r w:rsidR="005A2C7E" w:rsidRPr="00810C3E">
        <w:rPr>
          <w:rFonts w:eastAsia="Times New Roman" w:cs="Segoe UI"/>
          <w:kern w:val="0"/>
          <w:lang w:eastAsia="en-AU"/>
          <w14:ligatures w14:val="none"/>
        </w:rPr>
        <w:lastRenderedPageBreak/>
        <w:t>practical, everyday situations</w:t>
      </w:r>
      <w:r w:rsidR="0066282D" w:rsidRPr="00810C3E">
        <w:rPr>
          <w:rFonts w:eastAsia="Times New Roman" w:cs="Segoe UI"/>
          <w:kern w:val="0"/>
          <w:lang w:eastAsia="en-AU"/>
          <w14:ligatures w14:val="none"/>
        </w:rPr>
        <w:t xml:space="preserve"> “</w:t>
      </w:r>
      <w:r w:rsidR="0066282D" w:rsidRPr="00810C3E">
        <w:rPr>
          <w:rFonts w:cs="Arial"/>
          <w:color w:val="212121"/>
          <w:shd w:val="clear" w:color="auto" w:fill="FFFFFF"/>
        </w:rPr>
        <w:t>in an increasingly digital, text-mediated, information-rich and fast-changing world” (UNESCO, 202</w:t>
      </w:r>
      <w:r w:rsidR="00050646" w:rsidRPr="00810C3E">
        <w:rPr>
          <w:rFonts w:cs="Arial"/>
          <w:color w:val="212121"/>
          <w:shd w:val="clear" w:color="auto" w:fill="FFFFFF"/>
        </w:rPr>
        <w:t>4</w:t>
      </w:r>
      <w:r w:rsidR="0066282D" w:rsidRPr="00810C3E">
        <w:rPr>
          <w:rFonts w:cs="Arial"/>
          <w:color w:val="212121"/>
          <w:shd w:val="clear" w:color="auto" w:fill="FFFFFF"/>
        </w:rPr>
        <w:t>)</w:t>
      </w:r>
      <w:r w:rsidR="002379B9" w:rsidRPr="00810C3E">
        <w:rPr>
          <w:rFonts w:cs="Arial"/>
          <w:color w:val="212121"/>
          <w:shd w:val="clear" w:color="auto" w:fill="FFFFFF"/>
        </w:rPr>
        <w:t>.</w:t>
      </w:r>
    </w:p>
    <w:p w14:paraId="2EE30C30" w14:textId="36681DBA" w:rsidR="00050646" w:rsidRPr="00810C3E" w:rsidRDefault="00050646" w:rsidP="00810C3E">
      <w:pPr>
        <w:spacing w:line="360" w:lineRule="auto"/>
        <w:rPr>
          <w:lang w:eastAsia="en-AU"/>
        </w:rPr>
      </w:pPr>
      <w:r w:rsidRPr="00810C3E">
        <w:rPr>
          <w:lang w:eastAsia="en-AU"/>
        </w:rPr>
        <w:t>According to ACARA</w:t>
      </w:r>
      <w:r w:rsidR="00CA64E7" w:rsidRPr="00810C3E">
        <w:rPr>
          <w:lang w:eastAsia="en-AU"/>
        </w:rPr>
        <w:t xml:space="preserve"> (2016)</w:t>
      </w:r>
      <w:r w:rsidR="00C24CE3" w:rsidRPr="00810C3E">
        <w:rPr>
          <w:lang w:eastAsia="en-AU"/>
        </w:rPr>
        <w:t>,</w:t>
      </w:r>
      <w:r w:rsidRPr="00810C3E">
        <w:rPr>
          <w:lang w:eastAsia="en-AU"/>
        </w:rPr>
        <w:t xml:space="preserve"> students become literate as they develop the knowledge, skills, and dispositions to interpret and use language confidently for learning and communicating in and out of school and for participating effectively in society. ACARA recognise</w:t>
      </w:r>
      <w:r w:rsidR="00E30E19" w:rsidRPr="00810C3E">
        <w:rPr>
          <w:lang w:eastAsia="en-AU"/>
        </w:rPr>
        <w:t>s</w:t>
      </w:r>
      <w:r w:rsidRPr="00810C3E">
        <w:rPr>
          <w:lang w:eastAsia="en-AU"/>
        </w:rPr>
        <w:t xml:space="preserve"> that </w:t>
      </w:r>
      <w:r w:rsidRPr="00810C3E">
        <w:t>“many students with disability are able to achieve educational standards commensurate with their peers, as long as the necessary adjustments are made to the way in which they are taught and to the means through which they demonstrate their learning” (ACARA, 2013, p. 1).</w:t>
      </w:r>
    </w:p>
    <w:p w14:paraId="4F5002B6" w14:textId="3DE44AB6" w:rsidR="005A2C7E" w:rsidRPr="00810C3E" w:rsidRDefault="005A2C7E" w:rsidP="00262D12">
      <w:pPr>
        <w:spacing w:line="360" w:lineRule="auto"/>
        <w:rPr>
          <w:rFonts w:eastAsia="Times New Roman" w:cs="Segoe UI"/>
          <w:kern w:val="0"/>
          <w:szCs w:val="24"/>
          <w:lang w:eastAsia="en-AU"/>
          <w14:ligatures w14:val="none"/>
        </w:rPr>
      </w:pPr>
      <w:r w:rsidRPr="00810C3E">
        <w:rPr>
          <w:lang w:eastAsia="en-AU"/>
        </w:rPr>
        <w:t>The Organi</w:t>
      </w:r>
      <w:r w:rsidR="00CA64E7" w:rsidRPr="00810C3E">
        <w:rPr>
          <w:lang w:eastAsia="en-AU"/>
        </w:rPr>
        <w:t>s</w:t>
      </w:r>
      <w:r w:rsidRPr="00810C3E">
        <w:rPr>
          <w:lang w:eastAsia="en-AU"/>
        </w:rPr>
        <w:t>ation for Economic Cooperation and Development </w:t>
      </w:r>
      <w:r w:rsidR="0059553D" w:rsidRPr="00810C3E">
        <w:rPr>
          <w:lang w:eastAsia="en-AU"/>
        </w:rPr>
        <w:t>(OECD</w:t>
      </w:r>
      <w:r w:rsidR="009022C1" w:rsidRPr="00810C3E">
        <w:rPr>
          <w:lang w:eastAsia="en-AU"/>
        </w:rPr>
        <w:t xml:space="preserve">) </w:t>
      </w:r>
      <w:r w:rsidRPr="00810C3E">
        <w:rPr>
          <w:lang w:eastAsia="en-AU"/>
        </w:rPr>
        <w:t>state</w:t>
      </w:r>
      <w:r w:rsidR="009C37B0" w:rsidRPr="00810C3E">
        <w:rPr>
          <w:lang w:eastAsia="en-AU"/>
        </w:rPr>
        <w:t>s</w:t>
      </w:r>
      <w:r w:rsidRPr="00810C3E">
        <w:rPr>
          <w:lang w:eastAsia="en-AU"/>
        </w:rPr>
        <w:t xml:space="preserve"> that success in reading provides the foundation for achievement in </w:t>
      </w:r>
      <w:r w:rsidR="00BA20FB" w:rsidRPr="00810C3E">
        <w:rPr>
          <w:lang w:eastAsia="en-AU"/>
        </w:rPr>
        <w:t xml:space="preserve">all </w:t>
      </w:r>
      <w:r w:rsidRPr="00810C3E">
        <w:rPr>
          <w:lang w:eastAsia="en-AU"/>
        </w:rPr>
        <w:t>subject areas and for full participation in adult life. The ability to convey information in written form is one of humankind’s greatest assets; however,</w:t>
      </w:r>
      <w:r w:rsidR="0059553D" w:rsidRPr="00810C3E">
        <w:rPr>
          <w:lang w:eastAsia="en-AU"/>
        </w:rPr>
        <w:t xml:space="preserve"> the OECD states that</w:t>
      </w:r>
      <w:r w:rsidRPr="00810C3E">
        <w:rPr>
          <w:lang w:eastAsia="en-AU"/>
        </w:rPr>
        <w:t xml:space="preserve"> learning how to read and write requires effort because it cannot be achieved without mastering a collection of complex skills </w:t>
      </w:r>
      <w:r w:rsidR="009022C1" w:rsidRPr="00810C3E">
        <w:rPr>
          <w:lang w:eastAsia="en-AU"/>
        </w:rPr>
        <w:t>(2010)</w:t>
      </w:r>
      <w:r w:rsidR="005D5047" w:rsidRPr="00810C3E">
        <w:rPr>
          <w:lang w:eastAsia="en-AU"/>
        </w:rPr>
        <w:t>.</w:t>
      </w:r>
      <w:r w:rsidRPr="00810C3E">
        <w:rPr>
          <w:rFonts w:eastAsia="Times New Roman" w:cs="Segoe UI"/>
          <w:kern w:val="0"/>
          <w:szCs w:val="24"/>
          <w:lang w:eastAsia="en-AU"/>
          <w14:ligatures w14:val="none"/>
        </w:rPr>
        <w:t> </w:t>
      </w:r>
    </w:p>
    <w:p w14:paraId="3BE261CB" w14:textId="593A6653" w:rsidR="005A2C7E" w:rsidRPr="00810C3E" w:rsidRDefault="005A2C7E" w:rsidP="00810C3E">
      <w:pPr>
        <w:pStyle w:val="Heading1"/>
      </w:pPr>
      <w:r w:rsidRPr="00810C3E">
        <w:rPr>
          <w:shd w:val="clear" w:color="auto" w:fill="FFFFFF"/>
        </w:rPr>
        <w:t>Braille</w:t>
      </w:r>
    </w:p>
    <w:p w14:paraId="64834BE4" w14:textId="3B97EF78" w:rsidR="00E54E64" w:rsidRPr="00810C3E" w:rsidRDefault="005A2C7E" w:rsidP="00810C3E">
      <w:pPr>
        <w:spacing w:line="360" w:lineRule="auto"/>
        <w:rPr>
          <w:shd w:val="clear" w:color="auto" w:fill="FFFFFF"/>
          <w:lang w:eastAsia="en-AU"/>
        </w:rPr>
      </w:pPr>
      <w:r w:rsidRPr="00810C3E">
        <w:rPr>
          <w:shd w:val="clear" w:color="auto" w:fill="FFFFFF"/>
          <w:lang w:eastAsia="en-AU"/>
        </w:rPr>
        <w:t xml:space="preserve">Braille is a tactile reading and writing system </w:t>
      </w:r>
      <w:r w:rsidR="009022C1" w:rsidRPr="00810C3E">
        <w:rPr>
          <w:shd w:val="clear" w:color="auto" w:fill="FFFFFF"/>
          <w:lang w:eastAsia="en-AU"/>
        </w:rPr>
        <w:t>that consists of raised dots arranged in specific patterns within cells. Each</w:t>
      </w:r>
      <w:r w:rsidRPr="00810C3E">
        <w:rPr>
          <w:shd w:val="clear" w:color="auto" w:fill="FFFFFF"/>
          <w:lang w:eastAsia="en-AU"/>
        </w:rPr>
        <w:t xml:space="preserve"> cell contains up to six dots, arranged in two vertical columns of three dots each. These dots can be felt with the</w:t>
      </w:r>
      <w:r w:rsidR="00BA20FB" w:rsidRPr="00810C3E">
        <w:rPr>
          <w:shd w:val="clear" w:color="auto" w:fill="FFFFFF"/>
          <w:lang w:eastAsia="en-AU"/>
        </w:rPr>
        <w:t xml:space="preserve"> finger pads</w:t>
      </w:r>
      <w:r w:rsidRPr="00810C3E">
        <w:rPr>
          <w:shd w:val="clear" w:color="auto" w:fill="FFFFFF"/>
          <w:lang w:eastAsia="en-AU"/>
        </w:rPr>
        <w:t xml:space="preserve">, enabling </w:t>
      </w:r>
      <w:r w:rsidR="009022C1" w:rsidRPr="00810C3E">
        <w:rPr>
          <w:shd w:val="clear" w:color="auto" w:fill="FFFFFF"/>
          <w:lang w:eastAsia="en-AU"/>
        </w:rPr>
        <w:t xml:space="preserve">people </w:t>
      </w:r>
      <w:r w:rsidRPr="00810C3E">
        <w:rPr>
          <w:shd w:val="clear" w:color="auto" w:fill="FFFFFF"/>
          <w:lang w:eastAsia="en-AU"/>
        </w:rPr>
        <w:t xml:space="preserve">to read using touch. </w:t>
      </w:r>
      <w:r w:rsidR="00E54E64" w:rsidRPr="00810C3E">
        <w:rPr>
          <w:shd w:val="clear" w:color="auto" w:fill="FFFFFF"/>
          <w:lang w:eastAsia="en-AU"/>
        </w:rPr>
        <w:t xml:space="preserve">Braille characters </w:t>
      </w:r>
      <w:r w:rsidR="00BA20FB" w:rsidRPr="00810C3E">
        <w:rPr>
          <w:shd w:val="clear" w:color="auto" w:fill="FFFFFF"/>
          <w:lang w:eastAsia="en-AU"/>
        </w:rPr>
        <w:t>represent</w:t>
      </w:r>
      <w:r w:rsidR="00BA20FB" w:rsidRPr="00810C3E">
        <w:rPr>
          <w:rFonts w:cs="Helvetica Neue"/>
        </w:rPr>
        <w:t xml:space="preserve"> the print equivalent for literacy, mathematics, </w:t>
      </w:r>
      <w:r w:rsidR="004E5A3E" w:rsidRPr="00810C3E">
        <w:rPr>
          <w:rFonts w:cs="Helvetica Neue"/>
        </w:rPr>
        <w:t>science,</w:t>
      </w:r>
      <w:r w:rsidR="00BA20FB" w:rsidRPr="00810C3E">
        <w:rPr>
          <w:rFonts w:cs="Helvetica Neue"/>
        </w:rPr>
        <w:t xml:space="preserve"> and music </w:t>
      </w:r>
      <w:r w:rsidR="00E54E64" w:rsidRPr="00810C3E">
        <w:rPr>
          <w:shd w:val="clear" w:color="auto" w:fill="FFFFFF"/>
          <w:lang w:eastAsia="en-AU"/>
        </w:rPr>
        <w:t xml:space="preserve">notation. By combining different dot patterns, </w:t>
      </w:r>
      <w:r w:rsidR="009022C1" w:rsidRPr="00810C3E">
        <w:rPr>
          <w:shd w:val="clear" w:color="auto" w:fill="FFFFFF"/>
          <w:lang w:eastAsia="en-AU"/>
        </w:rPr>
        <w:t>b</w:t>
      </w:r>
      <w:r w:rsidR="00E54E64" w:rsidRPr="00810C3E">
        <w:rPr>
          <w:shd w:val="clear" w:color="auto" w:fill="FFFFFF"/>
          <w:lang w:eastAsia="en-AU"/>
        </w:rPr>
        <w:t>raille allows for the representation of various written language elements.</w:t>
      </w:r>
      <w:r w:rsidR="00BA20FB" w:rsidRPr="00810C3E">
        <w:rPr>
          <w:shd w:val="clear" w:color="auto" w:fill="FFFFFF"/>
          <w:lang w:eastAsia="en-AU"/>
        </w:rPr>
        <w:t xml:space="preserve"> </w:t>
      </w:r>
      <w:r w:rsidR="00BA20FB" w:rsidRPr="00810C3E">
        <w:rPr>
          <w:rFonts w:cs="Helvetica Neue"/>
        </w:rPr>
        <w:t xml:space="preserve">There are various braille codes used around the world. </w:t>
      </w:r>
      <w:r w:rsidR="009022C1" w:rsidRPr="00810C3E">
        <w:rPr>
          <w:rFonts w:cs="Helvetica Neue"/>
        </w:rPr>
        <w:t>The Unified English Braille code (</w:t>
      </w:r>
      <w:r w:rsidR="00BA20FB" w:rsidRPr="00810C3E">
        <w:rPr>
          <w:rFonts w:cs="Helvetica Neue"/>
        </w:rPr>
        <w:t>UEB</w:t>
      </w:r>
      <w:r w:rsidR="009022C1" w:rsidRPr="00810C3E">
        <w:rPr>
          <w:rFonts w:cs="Helvetica Neue"/>
        </w:rPr>
        <w:t>)</w:t>
      </w:r>
      <w:r w:rsidR="00BA20FB" w:rsidRPr="00810C3E">
        <w:rPr>
          <w:rFonts w:cs="Helvetica Neue"/>
        </w:rPr>
        <w:t xml:space="preserve"> is used </w:t>
      </w:r>
      <w:r w:rsidR="009022C1" w:rsidRPr="00810C3E">
        <w:rPr>
          <w:shd w:val="clear" w:color="auto" w:fill="FFFFFF"/>
          <w:lang w:eastAsia="en-AU"/>
        </w:rPr>
        <w:t>in Australia</w:t>
      </w:r>
      <w:r w:rsidR="00BA20FB" w:rsidRPr="00810C3E">
        <w:rPr>
          <w:shd w:val="clear" w:color="auto" w:fill="FFFFFF"/>
          <w:lang w:eastAsia="en-AU"/>
        </w:rPr>
        <w:t xml:space="preserve"> and </w:t>
      </w:r>
      <w:r w:rsidR="009022C1" w:rsidRPr="00810C3E">
        <w:rPr>
          <w:rFonts w:cs="Helvetica Neue"/>
        </w:rPr>
        <w:t>throughout the English-speaking world</w:t>
      </w:r>
      <w:r w:rsidR="00BA20FB" w:rsidRPr="00810C3E">
        <w:rPr>
          <w:rFonts w:cs="Helvetica Neue"/>
        </w:rPr>
        <w:t xml:space="preserve"> for literary and technical materials.</w:t>
      </w:r>
      <w:r w:rsidR="009022C1" w:rsidRPr="00810C3E">
        <w:rPr>
          <w:rFonts w:cs="Helvetica Neue"/>
        </w:rPr>
        <w:t xml:space="preserve"> </w:t>
      </w:r>
    </w:p>
    <w:p w14:paraId="76CE8847" w14:textId="20D2EE87" w:rsidR="005A2C7E" w:rsidRPr="00810C3E" w:rsidRDefault="009022C1" w:rsidP="00810C3E">
      <w:pPr>
        <w:spacing w:line="360" w:lineRule="auto"/>
        <w:rPr>
          <w:lang w:eastAsia="en-AU"/>
        </w:rPr>
      </w:pPr>
      <w:r w:rsidRPr="00810C3E">
        <w:rPr>
          <w:shd w:val="clear" w:color="auto" w:fill="FFFFFF"/>
          <w:lang w:eastAsia="en-AU"/>
        </w:rPr>
        <w:lastRenderedPageBreak/>
        <w:t>Braille is usually read</w:t>
      </w:r>
      <w:r w:rsidR="005A2C7E" w:rsidRPr="00810C3E">
        <w:rPr>
          <w:shd w:val="clear" w:color="auto" w:fill="FFFFFF"/>
          <w:lang w:eastAsia="en-AU"/>
        </w:rPr>
        <w:t xml:space="preserve"> </w:t>
      </w:r>
      <w:r w:rsidRPr="00810C3E">
        <w:rPr>
          <w:shd w:val="clear" w:color="auto" w:fill="FFFFFF"/>
          <w:lang w:eastAsia="en-AU"/>
        </w:rPr>
        <w:t xml:space="preserve">by moving one or more </w:t>
      </w:r>
      <w:r w:rsidR="005A2C7E" w:rsidRPr="00810C3E">
        <w:rPr>
          <w:shd w:val="clear" w:color="auto" w:fill="FFFFFF"/>
          <w:lang w:eastAsia="en-AU"/>
        </w:rPr>
        <w:t xml:space="preserve">fingers </w:t>
      </w:r>
      <w:r w:rsidRPr="00810C3E">
        <w:rPr>
          <w:shd w:val="clear" w:color="auto" w:fill="FFFFFF"/>
          <w:lang w:eastAsia="en-AU"/>
        </w:rPr>
        <w:t xml:space="preserve">across </w:t>
      </w:r>
      <w:r w:rsidR="005A2C7E" w:rsidRPr="00810C3E">
        <w:rPr>
          <w:shd w:val="clear" w:color="auto" w:fill="FFFFFF"/>
          <w:lang w:eastAsia="en-AU"/>
        </w:rPr>
        <w:t xml:space="preserve">the dots, feeling the patterns and interpreting them as specific letters or symbols. The ability to recognise and differentiate these </w:t>
      </w:r>
      <w:r w:rsidR="00E54E64" w:rsidRPr="00810C3E">
        <w:rPr>
          <w:shd w:val="clear" w:color="auto" w:fill="FFFFFF"/>
          <w:lang w:eastAsia="en-AU"/>
        </w:rPr>
        <w:t xml:space="preserve">raised </w:t>
      </w:r>
      <w:r w:rsidR="005A2C7E" w:rsidRPr="00810C3E">
        <w:rPr>
          <w:shd w:val="clear" w:color="auto" w:fill="FFFFFF"/>
          <w:lang w:eastAsia="en-AU"/>
        </w:rPr>
        <w:t xml:space="preserve">dot patterns through touch is crucial for </w:t>
      </w:r>
      <w:r w:rsidRPr="00810C3E">
        <w:rPr>
          <w:shd w:val="clear" w:color="auto" w:fill="FFFFFF"/>
          <w:lang w:eastAsia="en-AU"/>
        </w:rPr>
        <w:t>b</w:t>
      </w:r>
      <w:r w:rsidR="005A2C7E" w:rsidRPr="00810C3E">
        <w:rPr>
          <w:shd w:val="clear" w:color="auto" w:fill="FFFFFF"/>
          <w:lang w:eastAsia="en-AU"/>
        </w:rPr>
        <w:t xml:space="preserve">raille readers. </w:t>
      </w:r>
      <w:r w:rsidRPr="00810C3E">
        <w:rPr>
          <w:shd w:val="clear" w:color="auto" w:fill="FFFFFF"/>
          <w:lang w:eastAsia="en-AU"/>
        </w:rPr>
        <w:t>B</w:t>
      </w:r>
      <w:r w:rsidR="005A2C7E" w:rsidRPr="00810C3E">
        <w:rPr>
          <w:shd w:val="clear" w:color="auto" w:fill="FFFFFF"/>
          <w:lang w:eastAsia="en-AU"/>
        </w:rPr>
        <w:t xml:space="preserve">ecoming a fully literate </w:t>
      </w:r>
      <w:r w:rsidRPr="00810C3E">
        <w:rPr>
          <w:shd w:val="clear" w:color="auto" w:fill="FFFFFF"/>
          <w:lang w:eastAsia="en-AU"/>
        </w:rPr>
        <w:t xml:space="preserve">braille user in most languages </w:t>
      </w:r>
      <w:r w:rsidR="00CA64E7" w:rsidRPr="00810C3E">
        <w:rPr>
          <w:shd w:val="clear" w:color="auto" w:fill="FFFFFF"/>
          <w:lang w:eastAsia="en-AU"/>
        </w:rPr>
        <w:t xml:space="preserve">generally </w:t>
      </w:r>
      <w:r w:rsidR="005A2C7E" w:rsidRPr="00810C3E">
        <w:rPr>
          <w:shd w:val="clear" w:color="auto" w:fill="FFFFFF"/>
          <w:lang w:eastAsia="en-AU"/>
        </w:rPr>
        <w:t xml:space="preserve">entails learning language-specific contractions that represent whole words or strings of letters. This is called contracted </w:t>
      </w:r>
      <w:r w:rsidRPr="00810C3E">
        <w:rPr>
          <w:shd w:val="clear" w:color="auto" w:fill="FFFFFF"/>
          <w:lang w:eastAsia="en-AU"/>
        </w:rPr>
        <w:t>b</w:t>
      </w:r>
      <w:r w:rsidR="005A2C7E" w:rsidRPr="00810C3E">
        <w:rPr>
          <w:shd w:val="clear" w:color="auto" w:fill="FFFFFF"/>
          <w:lang w:eastAsia="en-AU"/>
        </w:rPr>
        <w:t>raille (Engebretson et. al., 2023)</w:t>
      </w:r>
      <w:r w:rsidRPr="00810C3E">
        <w:rPr>
          <w:lang w:eastAsia="en-AU"/>
        </w:rPr>
        <w:t xml:space="preserve">. </w:t>
      </w:r>
    </w:p>
    <w:p w14:paraId="0ABCB394" w14:textId="7DA77197" w:rsidR="005A2C7E" w:rsidRPr="00810C3E" w:rsidRDefault="009022C1" w:rsidP="00810C3E">
      <w:pPr>
        <w:spacing w:line="360" w:lineRule="auto"/>
        <w:rPr>
          <w:lang w:eastAsia="en-AU"/>
        </w:rPr>
      </w:pPr>
      <w:r w:rsidRPr="00810C3E">
        <w:rPr>
          <w:rFonts w:cs="Helvetica Neue"/>
        </w:rPr>
        <w:t xml:space="preserve">Braille can be embossed on paper or created as an electronic file for reading and writing on an electronic braille device, </w:t>
      </w:r>
      <w:r w:rsidRPr="00810C3E">
        <w:rPr>
          <w:shd w:val="clear" w:color="auto" w:fill="FFFFFF"/>
          <w:lang w:eastAsia="en-AU"/>
        </w:rPr>
        <w:t>which raises small pins on a refreshable braille display. When connected to the internet, e</w:t>
      </w:r>
      <w:r w:rsidR="00EB3601" w:rsidRPr="00810C3E">
        <w:rPr>
          <w:shd w:val="clear" w:color="auto" w:fill="FFFFFF"/>
          <w:lang w:eastAsia="en-AU"/>
        </w:rPr>
        <w:t>lectronic braille devices</w:t>
      </w:r>
      <w:r w:rsidR="005A2C7E" w:rsidRPr="00810C3E">
        <w:rPr>
          <w:shd w:val="clear" w:color="auto" w:fill="FFFFFF"/>
          <w:lang w:eastAsia="en-AU"/>
        </w:rPr>
        <w:t xml:space="preserve"> allow</w:t>
      </w:r>
      <w:r w:rsidR="00BA20FB" w:rsidRPr="00810C3E">
        <w:rPr>
          <w:shd w:val="clear" w:color="auto" w:fill="FFFFFF"/>
          <w:lang w:eastAsia="en-AU"/>
        </w:rPr>
        <w:t xml:space="preserve"> </w:t>
      </w:r>
      <w:r w:rsidR="005A2C7E" w:rsidRPr="00810C3E">
        <w:rPr>
          <w:shd w:val="clear" w:color="auto" w:fill="FFFFFF"/>
          <w:lang w:eastAsia="en-AU"/>
        </w:rPr>
        <w:t xml:space="preserve">access </w:t>
      </w:r>
      <w:r w:rsidRPr="00810C3E">
        <w:rPr>
          <w:shd w:val="clear" w:color="auto" w:fill="FFFFFF"/>
          <w:lang w:eastAsia="en-AU"/>
        </w:rPr>
        <w:t xml:space="preserve">to </w:t>
      </w:r>
      <w:r w:rsidR="005A2C7E" w:rsidRPr="00810C3E">
        <w:rPr>
          <w:shd w:val="clear" w:color="auto" w:fill="FFFFFF"/>
          <w:lang w:eastAsia="en-AU"/>
        </w:rPr>
        <w:t xml:space="preserve">a wide range of digital content, including </w:t>
      </w:r>
      <w:r w:rsidR="00B055E8" w:rsidRPr="00810C3E">
        <w:rPr>
          <w:shd w:val="clear" w:color="auto" w:fill="FFFFFF"/>
          <w:lang w:eastAsia="en-AU"/>
        </w:rPr>
        <w:t xml:space="preserve">online </w:t>
      </w:r>
      <w:r w:rsidR="005A2C7E" w:rsidRPr="00810C3E">
        <w:rPr>
          <w:shd w:val="clear" w:color="auto" w:fill="FFFFFF"/>
          <w:lang w:eastAsia="en-AU"/>
        </w:rPr>
        <w:t>books</w:t>
      </w:r>
      <w:r w:rsidR="00B055E8" w:rsidRPr="00810C3E">
        <w:rPr>
          <w:shd w:val="clear" w:color="auto" w:fill="FFFFFF"/>
          <w:lang w:eastAsia="en-AU"/>
        </w:rPr>
        <w:t xml:space="preserve"> and</w:t>
      </w:r>
      <w:r w:rsidR="005A2C7E" w:rsidRPr="00810C3E">
        <w:rPr>
          <w:shd w:val="clear" w:color="auto" w:fill="FFFFFF"/>
          <w:lang w:eastAsia="en-AU"/>
        </w:rPr>
        <w:t xml:space="preserve"> documents, emails, and webpages. </w:t>
      </w:r>
      <w:r w:rsidRPr="00810C3E">
        <w:rPr>
          <w:shd w:val="clear" w:color="auto" w:fill="FFFFFF"/>
          <w:lang w:eastAsia="en-AU"/>
        </w:rPr>
        <w:t xml:space="preserve">This degree of access can enable a braille user to </w:t>
      </w:r>
      <w:r w:rsidR="00E50B0B" w:rsidRPr="00810C3E">
        <w:rPr>
          <w:shd w:val="clear" w:color="auto" w:fill="FFFFFF"/>
          <w:lang w:eastAsia="en-AU"/>
        </w:rPr>
        <w:t xml:space="preserve">read and write at the same time as a print user, which is an important affordance for braille learners and users in educational </w:t>
      </w:r>
      <w:r w:rsidR="003335F6" w:rsidRPr="00810C3E">
        <w:rPr>
          <w:shd w:val="clear" w:color="auto" w:fill="FFFFFF"/>
          <w:lang w:eastAsia="en-AU"/>
        </w:rPr>
        <w:t xml:space="preserve">and wider </w:t>
      </w:r>
      <w:r w:rsidR="00E50B0B" w:rsidRPr="00810C3E">
        <w:rPr>
          <w:shd w:val="clear" w:color="auto" w:fill="FFFFFF"/>
          <w:lang w:eastAsia="en-AU"/>
        </w:rPr>
        <w:t xml:space="preserve">settings. </w:t>
      </w:r>
    </w:p>
    <w:p w14:paraId="1901B9F2" w14:textId="6C3E0AA1" w:rsidR="00B27828" w:rsidRPr="00810C3E" w:rsidRDefault="005A2C7E" w:rsidP="00810C3E">
      <w:pPr>
        <w:pStyle w:val="Heading1"/>
      </w:pPr>
      <w:r w:rsidRPr="00810C3E">
        <w:rPr>
          <w:shd w:val="clear" w:color="auto" w:fill="FFFFFF"/>
        </w:rPr>
        <w:t>The importance of</w:t>
      </w:r>
      <w:r w:rsidR="00D16193" w:rsidRPr="00810C3E">
        <w:rPr>
          <w:shd w:val="clear" w:color="auto" w:fill="FFFFFF"/>
        </w:rPr>
        <w:t xml:space="preserve"> </w:t>
      </w:r>
      <w:r w:rsidR="00E50B0B" w:rsidRPr="00810C3E">
        <w:rPr>
          <w:shd w:val="clear" w:color="auto" w:fill="FFFFFF"/>
        </w:rPr>
        <w:t>b</w:t>
      </w:r>
      <w:r w:rsidR="00D16193" w:rsidRPr="00810C3E">
        <w:rPr>
          <w:shd w:val="clear" w:color="auto" w:fill="FFFFFF"/>
        </w:rPr>
        <w:t xml:space="preserve">raille </w:t>
      </w:r>
      <w:r w:rsidRPr="00810C3E">
        <w:rPr>
          <w:shd w:val="clear" w:color="auto" w:fill="FFFFFF"/>
        </w:rPr>
        <w:t>literacy</w:t>
      </w:r>
      <w:r w:rsidRPr="00810C3E">
        <w:t> </w:t>
      </w:r>
    </w:p>
    <w:p w14:paraId="1501B139" w14:textId="322DB671" w:rsidR="005A2C7E" w:rsidRPr="00810C3E" w:rsidRDefault="00E30E19" w:rsidP="00810C3E">
      <w:pPr>
        <w:spacing w:line="360" w:lineRule="auto"/>
      </w:pPr>
      <w:r w:rsidRPr="00810C3E">
        <w:rPr>
          <w:lang w:eastAsia="en-AU"/>
        </w:rPr>
        <w:t xml:space="preserve">SPEVI </w:t>
      </w:r>
      <w:r w:rsidR="002379B9" w:rsidRPr="00810C3E">
        <w:rPr>
          <w:lang w:eastAsia="en-AU"/>
        </w:rPr>
        <w:t xml:space="preserve">Inc. </w:t>
      </w:r>
      <w:r w:rsidRPr="00810C3E">
        <w:rPr>
          <w:lang w:eastAsia="en-AU"/>
        </w:rPr>
        <w:t>believes</w:t>
      </w:r>
      <w:r w:rsidR="00E50B0B" w:rsidRPr="00810C3E">
        <w:rPr>
          <w:lang w:eastAsia="en-AU"/>
        </w:rPr>
        <w:t xml:space="preserve"> that</w:t>
      </w:r>
      <w:r w:rsidRPr="00810C3E">
        <w:rPr>
          <w:lang w:eastAsia="en-AU"/>
        </w:rPr>
        <w:t xml:space="preserve"> b</w:t>
      </w:r>
      <w:r w:rsidR="00B27828" w:rsidRPr="00810C3E">
        <w:rPr>
          <w:lang w:eastAsia="en-AU"/>
        </w:rPr>
        <w:t>raille literacy is equivalent to print literacy for sighted students.</w:t>
      </w:r>
      <w:r w:rsidR="005A2C7E" w:rsidRPr="00810C3E">
        <w:rPr>
          <w:color w:val="000000"/>
          <w:lang w:eastAsia="en-AU"/>
        </w:rPr>
        <w:t> </w:t>
      </w:r>
      <w:r w:rsidR="005A2C7E" w:rsidRPr="00810C3E">
        <w:t xml:space="preserve">Braille literacy is a fundamental right that must be supported, promoted, and preserved. </w:t>
      </w:r>
      <w:r w:rsidR="00E50B0B" w:rsidRPr="00810C3E">
        <w:t>SPEVI</w:t>
      </w:r>
      <w:r w:rsidR="002379B9" w:rsidRPr="00810C3E">
        <w:t xml:space="preserve"> Inc.</w:t>
      </w:r>
      <w:r w:rsidRPr="00810C3E">
        <w:t xml:space="preserve"> believe</w:t>
      </w:r>
      <w:r w:rsidR="00E50B0B" w:rsidRPr="00810C3E">
        <w:t>s that</w:t>
      </w:r>
      <w:r w:rsidRPr="00810C3E">
        <w:t xml:space="preserve"> </w:t>
      </w:r>
      <w:r w:rsidR="00287812" w:rsidRPr="00810C3E">
        <w:t>braille is</w:t>
      </w:r>
      <w:r w:rsidR="005A2C7E" w:rsidRPr="00810C3E">
        <w:t xml:space="preserve"> an essential tool for students who</w:t>
      </w:r>
      <w:r w:rsidR="002D69D0" w:rsidRPr="00810C3E">
        <w:t xml:space="preserve"> cannot efficiently and sustainably access</w:t>
      </w:r>
      <w:r w:rsidR="005A2C7E" w:rsidRPr="00810C3E">
        <w:t xml:space="preserve"> print</w:t>
      </w:r>
      <w:r w:rsidR="002D69D0" w:rsidRPr="00810C3E">
        <w:t xml:space="preserve">. Braille provides </w:t>
      </w:r>
      <w:r w:rsidR="005A2C7E" w:rsidRPr="00810C3E">
        <w:t>access to</w:t>
      </w:r>
      <w:r w:rsidR="00813E56" w:rsidRPr="00810C3E">
        <w:t>,</w:t>
      </w:r>
      <w:r w:rsidR="005A2C7E" w:rsidRPr="00810C3E">
        <w:t xml:space="preserve"> and increased opportunities for</w:t>
      </w:r>
      <w:r w:rsidR="00813E56" w:rsidRPr="00810C3E">
        <w:t>,</w:t>
      </w:r>
      <w:r w:rsidR="005A2C7E" w:rsidRPr="00810C3E">
        <w:t xml:space="preserve"> education, employment, and independent living. </w:t>
      </w:r>
    </w:p>
    <w:p w14:paraId="2B7E1F8E" w14:textId="292D24E2" w:rsidR="005A2C7E" w:rsidRPr="00810C3E" w:rsidRDefault="007A5850" w:rsidP="00810C3E">
      <w:pPr>
        <w:spacing w:line="360" w:lineRule="auto"/>
        <w:rPr>
          <w:lang w:eastAsia="en-AU"/>
        </w:rPr>
      </w:pPr>
      <w:r w:rsidRPr="00810C3E">
        <w:rPr>
          <w:lang w:eastAsia="en-AU"/>
        </w:rPr>
        <w:t xml:space="preserve">SPEVI </w:t>
      </w:r>
      <w:r w:rsidR="002379B9" w:rsidRPr="00810C3E">
        <w:rPr>
          <w:lang w:eastAsia="en-AU"/>
        </w:rPr>
        <w:t>Inc</w:t>
      </w:r>
      <w:r w:rsidR="002D69D0" w:rsidRPr="00810C3E">
        <w:rPr>
          <w:lang w:eastAsia="en-AU"/>
        </w:rPr>
        <w:t>.</w:t>
      </w:r>
      <w:r w:rsidR="002379B9" w:rsidRPr="00810C3E">
        <w:rPr>
          <w:lang w:eastAsia="en-AU"/>
        </w:rPr>
        <w:t xml:space="preserve"> </w:t>
      </w:r>
      <w:r w:rsidRPr="00810C3E">
        <w:rPr>
          <w:lang w:eastAsia="en-AU"/>
        </w:rPr>
        <w:t>holds the position that b</w:t>
      </w:r>
      <w:r w:rsidR="005A2C7E" w:rsidRPr="00810C3E">
        <w:rPr>
          <w:lang w:eastAsia="en-AU"/>
        </w:rPr>
        <w:t xml:space="preserve">raille literacy empowers students </w:t>
      </w:r>
      <w:r w:rsidR="00E50B0B" w:rsidRPr="00810C3E">
        <w:rPr>
          <w:lang w:eastAsia="en-AU"/>
        </w:rPr>
        <w:t>who are blind or have low vision</w:t>
      </w:r>
      <w:r w:rsidR="005A2C7E" w:rsidRPr="00810C3E">
        <w:rPr>
          <w:lang w:eastAsia="en-AU"/>
        </w:rPr>
        <w:t xml:space="preserve"> by </w:t>
      </w:r>
      <w:r w:rsidR="00E50B0B" w:rsidRPr="00810C3E">
        <w:rPr>
          <w:lang w:eastAsia="en-AU"/>
        </w:rPr>
        <w:t>providing</w:t>
      </w:r>
      <w:r w:rsidR="005A2C7E" w:rsidRPr="00810C3E">
        <w:rPr>
          <w:lang w:eastAsia="en-AU"/>
        </w:rPr>
        <w:t xml:space="preserve"> independent access to written information. Braille fosters autonomy in reading, writing, and communication, enabling students to engage with </w:t>
      </w:r>
      <w:r w:rsidR="00E50B0B" w:rsidRPr="00810C3E">
        <w:rPr>
          <w:lang w:eastAsia="en-AU"/>
        </w:rPr>
        <w:t>information</w:t>
      </w:r>
      <w:r w:rsidR="005A2C7E" w:rsidRPr="00810C3E">
        <w:rPr>
          <w:lang w:eastAsia="en-AU"/>
        </w:rPr>
        <w:t xml:space="preserve">, communicate </w:t>
      </w:r>
      <w:r w:rsidR="00E50B0B" w:rsidRPr="00810C3E">
        <w:rPr>
          <w:lang w:eastAsia="en-AU"/>
        </w:rPr>
        <w:t>ideas and knowledge</w:t>
      </w:r>
      <w:r w:rsidR="005A2C7E" w:rsidRPr="00810C3E">
        <w:rPr>
          <w:lang w:eastAsia="en-AU"/>
        </w:rPr>
        <w:t xml:space="preserve">, and pursue </w:t>
      </w:r>
      <w:r w:rsidR="00E50B0B" w:rsidRPr="00810C3E">
        <w:rPr>
          <w:lang w:eastAsia="en-AU"/>
        </w:rPr>
        <w:t>employment</w:t>
      </w:r>
      <w:r w:rsidR="005A2C7E" w:rsidRPr="00810C3E">
        <w:rPr>
          <w:lang w:eastAsia="en-AU"/>
        </w:rPr>
        <w:t xml:space="preserve">. </w:t>
      </w:r>
      <w:r w:rsidR="007F2A21" w:rsidRPr="00810C3E">
        <w:rPr>
          <w:lang w:eastAsia="en-AU"/>
        </w:rPr>
        <w:t xml:space="preserve">The many rich benefits of literacy extend to people who are print or braille literate. </w:t>
      </w:r>
    </w:p>
    <w:p w14:paraId="664D9513" w14:textId="3AC3AEBD" w:rsidR="005A2C7E" w:rsidRPr="00810C3E" w:rsidRDefault="005A2C7E" w:rsidP="00810C3E">
      <w:pPr>
        <w:pStyle w:val="Heading1"/>
      </w:pPr>
      <w:r w:rsidRPr="00810C3E">
        <w:rPr>
          <w:shd w:val="clear" w:color="auto" w:fill="FFFFFF"/>
        </w:rPr>
        <w:lastRenderedPageBreak/>
        <w:t xml:space="preserve">Equality of access to </w:t>
      </w:r>
      <w:r w:rsidR="000D0DA4" w:rsidRPr="00810C3E">
        <w:rPr>
          <w:shd w:val="clear" w:color="auto" w:fill="FFFFFF"/>
        </w:rPr>
        <w:t>b</w:t>
      </w:r>
      <w:r w:rsidRPr="00810C3E">
        <w:rPr>
          <w:shd w:val="clear" w:color="auto" w:fill="FFFFFF"/>
        </w:rPr>
        <w:t>raille literacy in line with government policies</w:t>
      </w:r>
      <w:r w:rsidRPr="00810C3E">
        <w:t> </w:t>
      </w:r>
    </w:p>
    <w:p w14:paraId="6767D7FC" w14:textId="0F969659" w:rsidR="000D0DA4" w:rsidRPr="00810C3E" w:rsidRDefault="000D0DA4" w:rsidP="00810C3E">
      <w:pPr>
        <w:spacing w:line="360" w:lineRule="auto"/>
      </w:pPr>
      <w:r w:rsidRPr="00810C3E">
        <w:t xml:space="preserve">To become proficient learners of braille, students must receive regular, explicit instruction and ongoing support from a </w:t>
      </w:r>
      <w:r w:rsidR="00287812" w:rsidRPr="00810C3E">
        <w:t>Specialist Teachers (Vision Impairment)</w:t>
      </w:r>
      <w:r w:rsidR="00BE28A2" w:rsidRPr="00810C3E">
        <w:t xml:space="preserve"> </w:t>
      </w:r>
      <w:r w:rsidRPr="00810C3E">
        <w:t xml:space="preserve">to ensure equal opportunities to develop literacy skills (United Nations, 2006). Research supports the importance of competent braille teachers </w:t>
      </w:r>
      <w:r w:rsidRPr="00810C3E">
        <w:rPr>
          <w:shd w:val="clear" w:color="auto" w:fill="FFFFFF"/>
        </w:rPr>
        <w:t>(Emerson</w:t>
      </w:r>
      <w:r w:rsidR="00810C3E" w:rsidRPr="00810C3E">
        <w:rPr>
          <w:shd w:val="clear" w:color="auto" w:fill="FFFFFF"/>
        </w:rPr>
        <w:t xml:space="preserve"> et al., </w:t>
      </w:r>
      <w:r w:rsidRPr="00810C3E">
        <w:rPr>
          <w:shd w:val="clear" w:color="auto" w:fill="FFFFFF"/>
        </w:rPr>
        <w:t>2009</w:t>
      </w:r>
      <w:r w:rsidRPr="00810C3E">
        <w:t>) in educating braille learners.</w:t>
      </w:r>
    </w:p>
    <w:p w14:paraId="637EB594" w14:textId="6ABBC565" w:rsidR="003941A0" w:rsidRPr="00810C3E" w:rsidRDefault="005A2C7E" w:rsidP="00810C3E">
      <w:pPr>
        <w:spacing w:line="360" w:lineRule="auto"/>
        <w:rPr>
          <w:lang w:eastAsia="en-AU"/>
        </w:rPr>
      </w:pPr>
      <w:r w:rsidRPr="00810C3E">
        <w:rPr>
          <w:lang w:eastAsia="en-AU"/>
        </w:rPr>
        <w:t xml:space="preserve">The </w:t>
      </w:r>
      <w:r w:rsidR="00D81177" w:rsidRPr="00810C3E">
        <w:rPr>
          <w:lang w:eastAsia="en-AU"/>
        </w:rPr>
        <w:t xml:space="preserve">Australian </w:t>
      </w:r>
      <w:r w:rsidRPr="00810C3E">
        <w:rPr>
          <w:lang w:eastAsia="en-AU"/>
        </w:rPr>
        <w:t>Disability Discrimination Act</w:t>
      </w:r>
      <w:r w:rsidR="007B71A7" w:rsidRPr="00810C3E">
        <w:rPr>
          <w:lang w:eastAsia="en-AU"/>
        </w:rPr>
        <w:t xml:space="preserve"> 1992</w:t>
      </w:r>
      <w:r w:rsidRPr="00810C3E">
        <w:rPr>
          <w:lang w:eastAsia="en-AU"/>
        </w:rPr>
        <w:t xml:space="preserve"> (</w:t>
      </w:r>
      <w:r w:rsidR="007B71A7" w:rsidRPr="00810C3E">
        <w:rPr>
          <w:lang w:eastAsia="en-AU"/>
        </w:rPr>
        <w:t>DDA</w:t>
      </w:r>
      <w:r w:rsidR="00803BDC" w:rsidRPr="00810C3E">
        <w:rPr>
          <w:lang w:eastAsia="en-AU"/>
        </w:rPr>
        <w:t>)</w:t>
      </w:r>
      <w:r w:rsidR="007B71A7" w:rsidRPr="00810C3E">
        <w:rPr>
          <w:lang w:eastAsia="en-AU"/>
        </w:rPr>
        <w:t xml:space="preserve"> </w:t>
      </w:r>
      <w:r w:rsidR="00810C3E" w:rsidRPr="00810C3E">
        <w:rPr>
          <w:lang w:eastAsia="en-AU"/>
        </w:rPr>
        <w:t>(</w:t>
      </w:r>
      <w:r w:rsidR="007B71A7" w:rsidRPr="00810C3E">
        <w:rPr>
          <w:lang w:eastAsia="en-AU"/>
        </w:rPr>
        <w:t>Australian Government</w:t>
      </w:r>
      <w:r w:rsidR="00803BDC" w:rsidRPr="00810C3E">
        <w:rPr>
          <w:lang w:eastAsia="en-AU"/>
        </w:rPr>
        <w:t>, 2023</w:t>
      </w:r>
      <w:r w:rsidRPr="00810C3E">
        <w:rPr>
          <w:lang w:eastAsia="en-AU"/>
        </w:rPr>
        <w:t>)</w:t>
      </w:r>
      <w:r w:rsidR="007F2A21" w:rsidRPr="00810C3E">
        <w:rPr>
          <w:rStyle w:val="CommentReference"/>
        </w:rPr>
        <w:t xml:space="preserve"> </w:t>
      </w:r>
      <w:r w:rsidR="007F2A21" w:rsidRPr="00810C3E">
        <w:t>en</w:t>
      </w:r>
      <w:r w:rsidR="000D0DA4" w:rsidRPr="00810C3E">
        <w:t>shrines the right to accessibility and non-discrimination</w:t>
      </w:r>
      <w:r w:rsidR="000D0DA4" w:rsidRPr="00810C3E">
        <w:rPr>
          <w:rStyle w:val="cf01"/>
          <w:rFonts w:ascii="Verdana" w:hAnsi="Verdana"/>
        </w:rPr>
        <w:t xml:space="preserve"> </w:t>
      </w:r>
      <w:r w:rsidRPr="00810C3E">
        <w:rPr>
          <w:lang w:eastAsia="en-AU"/>
        </w:rPr>
        <w:t xml:space="preserve">for individuals with disabilities, including those who are </w:t>
      </w:r>
      <w:r w:rsidR="00E16654" w:rsidRPr="00810C3E">
        <w:rPr>
          <w:lang w:eastAsia="en-AU"/>
        </w:rPr>
        <w:t>blind or who have low vision</w:t>
      </w:r>
      <w:r w:rsidRPr="00810C3E">
        <w:rPr>
          <w:lang w:eastAsia="en-AU"/>
        </w:rPr>
        <w:t>. The DDA mandates that reasonable accommodations and adjustments be made to ensure equal access to services, education, employment, and public facilities for people with disabilities. </w:t>
      </w:r>
    </w:p>
    <w:p w14:paraId="481A718F" w14:textId="1513EF42" w:rsidR="005A2C7E" w:rsidRPr="00810C3E" w:rsidRDefault="00D043EB" w:rsidP="00810C3E">
      <w:pPr>
        <w:spacing w:line="360" w:lineRule="auto"/>
        <w:rPr>
          <w:lang w:eastAsia="en-AU"/>
        </w:rPr>
      </w:pPr>
      <w:r w:rsidRPr="00810C3E">
        <w:rPr>
          <w:shd w:val="clear" w:color="auto" w:fill="FFFFFF"/>
          <w:lang w:eastAsia="en-AU"/>
        </w:rPr>
        <w:t>ACARA</w:t>
      </w:r>
      <w:r w:rsidR="005A2C7E" w:rsidRPr="00810C3E">
        <w:rPr>
          <w:shd w:val="clear" w:color="auto" w:fill="FFFFFF"/>
          <w:lang w:eastAsia="en-AU"/>
        </w:rPr>
        <w:t xml:space="preserve"> </w:t>
      </w:r>
      <w:r w:rsidR="00BE28A2" w:rsidRPr="00810C3E">
        <w:rPr>
          <w:shd w:val="clear" w:color="auto" w:fill="FFFFFF"/>
          <w:lang w:eastAsia="en-AU"/>
        </w:rPr>
        <w:t>(2016)</w:t>
      </w:r>
      <w:r w:rsidR="007F2A21" w:rsidRPr="00810C3E">
        <w:rPr>
          <w:shd w:val="clear" w:color="auto" w:fill="FFFFFF"/>
          <w:lang w:eastAsia="en-AU"/>
        </w:rPr>
        <w:t xml:space="preserve"> recommends t</w:t>
      </w:r>
      <w:r w:rsidR="005A2C7E" w:rsidRPr="00810C3E">
        <w:rPr>
          <w:shd w:val="clear" w:color="auto" w:fill="FFFFFF"/>
          <w:lang w:eastAsia="en-AU"/>
        </w:rPr>
        <w:t>hat primary school students receive a guaranteed minimum of 300 minutes, equivalent to five hours of direct instruction in literacy and numeracy per week. This ensures that students have ample opportunities to develop their skills and knowledge in these crucial areas of education.</w:t>
      </w:r>
    </w:p>
    <w:p w14:paraId="7EA077D1" w14:textId="04742621" w:rsidR="005A2C7E" w:rsidRPr="00810C3E" w:rsidRDefault="005A2C7E" w:rsidP="00810C3E">
      <w:pPr>
        <w:pStyle w:val="Heading1"/>
      </w:pPr>
      <w:r w:rsidRPr="00810C3E">
        <w:rPr>
          <w:shd w:val="clear" w:color="auto" w:fill="FFFFFF"/>
        </w:rPr>
        <w:t>Braille’s relevance in the age of technology</w:t>
      </w:r>
      <w:r w:rsidRPr="00810C3E">
        <w:t> </w:t>
      </w:r>
    </w:p>
    <w:p w14:paraId="31E949B8" w14:textId="1D80EDAC" w:rsidR="006926B1" w:rsidRPr="00810C3E" w:rsidRDefault="000D0DA4" w:rsidP="00810C3E">
      <w:pPr>
        <w:spacing w:line="360" w:lineRule="auto"/>
        <w:rPr>
          <w:lang w:eastAsia="en-AU"/>
        </w:rPr>
      </w:pPr>
      <w:r w:rsidRPr="00810C3E">
        <w:rPr>
          <w:lang w:eastAsia="en-AU"/>
        </w:rPr>
        <w:t>B</w:t>
      </w:r>
      <w:r w:rsidR="005A2C7E" w:rsidRPr="00810C3E">
        <w:rPr>
          <w:lang w:eastAsia="en-AU"/>
        </w:rPr>
        <w:t xml:space="preserve">raille offers advantages over audiobooks and screen readers because </w:t>
      </w:r>
      <w:r w:rsidRPr="00810C3E">
        <w:rPr>
          <w:lang w:eastAsia="en-AU"/>
        </w:rPr>
        <w:t>braille</w:t>
      </w:r>
      <w:r w:rsidR="005A2C7E" w:rsidRPr="00810C3E">
        <w:rPr>
          <w:lang w:eastAsia="en-AU"/>
        </w:rPr>
        <w:t xml:space="preserve"> allow</w:t>
      </w:r>
      <w:r w:rsidRPr="00810C3E">
        <w:rPr>
          <w:lang w:eastAsia="en-AU"/>
        </w:rPr>
        <w:t xml:space="preserve">s readers </w:t>
      </w:r>
      <w:r w:rsidR="005A2C7E" w:rsidRPr="00810C3E">
        <w:rPr>
          <w:lang w:eastAsia="en-AU"/>
        </w:rPr>
        <w:t>to physically feel and interact with the text</w:t>
      </w:r>
      <w:r w:rsidRPr="00810C3E">
        <w:rPr>
          <w:lang w:eastAsia="en-AU"/>
        </w:rPr>
        <w:t xml:space="preserve"> in a manner commensurate with print readers (Englebretson</w:t>
      </w:r>
      <w:r w:rsidR="00810C3E" w:rsidRPr="00810C3E">
        <w:rPr>
          <w:lang w:eastAsia="en-AU"/>
        </w:rPr>
        <w:t xml:space="preserve"> et al., 2023</w:t>
      </w:r>
      <w:r w:rsidRPr="00810C3E">
        <w:rPr>
          <w:lang w:eastAsia="en-AU"/>
        </w:rPr>
        <w:t xml:space="preserve">). </w:t>
      </w:r>
      <w:r w:rsidR="00AA429C" w:rsidRPr="00810C3E">
        <w:rPr>
          <w:color w:val="242424"/>
          <w:bdr w:val="none" w:sz="0" w:space="0" w:color="auto" w:frame="1"/>
          <w:shd w:val="clear" w:color="auto" w:fill="FFFFFF"/>
        </w:rPr>
        <w:t>Braille enables engagement with written language that is equivalent to print for people who are sighted (Englebretson</w:t>
      </w:r>
      <w:r w:rsidR="00803BDC" w:rsidRPr="00810C3E">
        <w:rPr>
          <w:color w:val="242424"/>
          <w:bdr w:val="none" w:sz="0" w:space="0" w:color="auto" w:frame="1"/>
          <w:shd w:val="clear" w:color="auto" w:fill="FFFFFF"/>
        </w:rPr>
        <w:t xml:space="preserve"> et al.</w:t>
      </w:r>
      <w:r w:rsidR="00AA429C" w:rsidRPr="00810C3E">
        <w:rPr>
          <w:color w:val="242424"/>
          <w:bdr w:val="none" w:sz="0" w:space="0" w:color="auto" w:frame="1"/>
          <w:shd w:val="clear" w:color="auto" w:fill="FFFFFF"/>
        </w:rPr>
        <w:t xml:space="preserve">, 2023). As with competent print readers, competent braille readers are in control of the reading experience. They vary the pace of reading according to the complexity of the material, </w:t>
      </w:r>
      <w:r w:rsidR="00000748" w:rsidRPr="00810C3E">
        <w:rPr>
          <w:color w:val="242424"/>
          <w:bdr w:val="none" w:sz="0" w:space="0" w:color="auto" w:frame="1"/>
          <w:shd w:val="clear" w:color="auto" w:fill="FFFFFF"/>
        </w:rPr>
        <w:t>reviewing,</w:t>
      </w:r>
      <w:r w:rsidR="00AA429C" w:rsidRPr="00810C3E">
        <w:rPr>
          <w:color w:val="242424"/>
          <w:bdr w:val="none" w:sz="0" w:space="0" w:color="auto" w:frame="1"/>
          <w:shd w:val="clear" w:color="auto" w:fill="FFFFFF"/>
        </w:rPr>
        <w:t xml:space="preserve"> and scanning text, and skipping sections of text during the reading process.</w:t>
      </w:r>
      <w:r w:rsidR="00AA429C" w:rsidRPr="00810C3E">
        <w:rPr>
          <w:lang w:eastAsia="en-AU"/>
        </w:rPr>
        <w:t xml:space="preserve"> </w:t>
      </w:r>
      <w:r w:rsidR="005A2C7E" w:rsidRPr="00810C3E">
        <w:rPr>
          <w:lang w:eastAsia="en-AU"/>
        </w:rPr>
        <w:t xml:space="preserve">This tactile feedback enhances comprehension and helps users understand </w:t>
      </w:r>
      <w:r w:rsidR="005A2C7E" w:rsidRPr="00810C3E">
        <w:rPr>
          <w:lang w:eastAsia="en-AU"/>
        </w:rPr>
        <w:lastRenderedPageBreak/>
        <w:t>the structure of the written word, including punctuation, grammar, and formatting</w:t>
      </w:r>
      <w:r w:rsidR="00B27828" w:rsidRPr="00810C3E">
        <w:rPr>
          <w:lang w:eastAsia="en-AU"/>
        </w:rPr>
        <w:t xml:space="preserve"> (</w:t>
      </w:r>
      <w:bookmarkStart w:id="0" w:name="_Hlk162961815"/>
      <w:r w:rsidR="00B27828" w:rsidRPr="00810C3E">
        <w:rPr>
          <w:lang w:eastAsia="en-AU"/>
        </w:rPr>
        <w:t>Fanshawe</w:t>
      </w:r>
      <w:r w:rsidRPr="00810C3E">
        <w:rPr>
          <w:lang w:eastAsia="en-AU"/>
        </w:rPr>
        <w:t>,</w:t>
      </w:r>
      <w:r w:rsidR="00B27828" w:rsidRPr="00810C3E">
        <w:rPr>
          <w:lang w:eastAsia="en-AU"/>
        </w:rPr>
        <w:t xml:space="preserve"> 201</w:t>
      </w:r>
      <w:r w:rsidR="00810C3E">
        <w:rPr>
          <w:lang w:eastAsia="en-AU"/>
        </w:rPr>
        <w:t>7</w:t>
      </w:r>
      <w:r w:rsidR="00B27828" w:rsidRPr="00810C3E">
        <w:rPr>
          <w:lang w:eastAsia="en-AU"/>
        </w:rPr>
        <w:t>).</w:t>
      </w:r>
      <w:r w:rsidR="006926B1" w:rsidRPr="00810C3E">
        <w:rPr>
          <w:lang w:eastAsia="en-AU"/>
        </w:rPr>
        <w:t xml:space="preserve"> </w:t>
      </w:r>
      <w:bookmarkEnd w:id="0"/>
    </w:p>
    <w:p w14:paraId="680E0853" w14:textId="7D875659" w:rsidR="005A2C7E" w:rsidRPr="00810C3E" w:rsidRDefault="006926B1" w:rsidP="00810C3E">
      <w:pPr>
        <w:spacing w:line="360" w:lineRule="auto"/>
        <w:rPr>
          <w:rFonts w:eastAsia="Times New Roman" w:cs="Segoe UI"/>
          <w:kern w:val="0"/>
          <w:szCs w:val="24"/>
          <w:lang w:eastAsia="en-AU"/>
          <w14:ligatures w14:val="none"/>
        </w:rPr>
      </w:pPr>
      <w:r w:rsidRPr="00810C3E">
        <w:t>Electronic braille devices enable people to gain immediate access to read and write braille and develop skills of spelling</w:t>
      </w:r>
      <w:r w:rsidR="006E5A93" w:rsidRPr="00810C3E">
        <w:t xml:space="preserve"> and</w:t>
      </w:r>
      <w:r w:rsidRPr="00810C3E">
        <w:t xml:space="preserve"> punctuation required to promote independence in community participation and employment (Fanshawe, 2022).  </w:t>
      </w:r>
      <w:r w:rsidR="000D0DA4" w:rsidRPr="00810C3E">
        <w:t>Using</w:t>
      </w:r>
      <w:r w:rsidR="005A2C7E" w:rsidRPr="00810C3E">
        <w:rPr>
          <w:rFonts w:eastAsia="Times New Roman" w:cs="Segoe UI"/>
          <w:color w:val="000000"/>
          <w:kern w:val="0"/>
          <w:szCs w:val="24"/>
          <w:lang w:eastAsia="en-AU"/>
          <w14:ligatures w14:val="none"/>
        </w:rPr>
        <w:t xml:space="preserve"> technology </w:t>
      </w:r>
      <w:r w:rsidR="000D0DA4" w:rsidRPr="00810C3E">
        <w:rPr>
          <w:rFonts w:eastAsia="Times New Roman" w:cs="Segoe UI"/>
          <w:color w:val="000000"/>
          <w:kern w:val="0"/>
          <w:szCs w:val="24"/>
          <w:lang w:eastAsia="en-AU"/>
          <w14:ligatures w14:val="none"/>
        </w:rPr>
        <w:t>to access b</w:t>
      </w:r>
      <w:r w:rsidR="005A2C7E" w:rsidRPr="00810C3E">
        <w:rPr>
          <w:rFonts w:eastAsia="Times New Roman" w:cs="Segoe UI"/>
          <w:color w:val="000000"/>
          <w:kern w:val="0"/>
          <w:szCs w:val="24"/>
          <w:lang w:eastAsia="en-AU"/>
          <w14:ligatures w14:val="none"/>
        </w:rPr>
        <w:t xml:space="preserve">raille ensures a more enriched and comprehensive approach to accessibility and empowerment for students </w:t>
      </w:r>
      <w:r w:rsidR="000D0DA4" w:rsidRPr="00810C3E">
        <w:rPr>
          <w:rFonts w:eastAsia="Times New Roman" w:cs="Segoe UI"/>
          <w:color w:val="000000"/>
          <w:kern w:val="0"/>
          <w:szCs w:val="24"/>
          <w:lang w:eastAsia="en-AU"/>
          <w14:ligatures w14:val="none"/>
        </w:rPr>
        <w:t>who are blind or have low vision.</w:t>
      </w:r>
    </w:p>
    <w:p w14:paraId="4519B678" w14:textId="41A5F329" w:rsidR="00AA429C" w:rsidRPr="00810C3E" w:rsidRDefault="005A2C7E" w:rsidP="00810C3E">
      <w:pPr>
        <w:pStyle w:val="Heading1"/>
      </w:pPr>
      <w:r w:rsidRPr="00810C3E">
        <w:t xml:space="preserve">Braille literacy </w:t>
      </w:r>
      <w:r w:rsidR="00000748" w:rsidRPr="00810C3E">
        <w:t xml:space="preserve">for students who use </w:t>
      </w:r>
      <w:r w:rsidRPr="00810C3E">
        <w:t>dual media</w:t>
      </w:r>
    </w:p>
    <w:p w14:paraId="11D17AFE" w14:textId="2C004746" w:rsidR="000D0DA4" w:rsidRPr="00810C3E" w:rsidRDefault="005A2C7E" w:rsidP="00810C3E">
      <w:pPr>
        <w:spacing w:line="360" w:lineRule="auto"/>
        <w:rPr>
          <w:lang w:eastAsia="en-AU"/>
        </w:rPr>
      </w:pPr>
      <w:r w:rsidRPr="00810C3E">
        <w:rPr>
          <w:lang w:eastAsia="en-AU"/>
        </w:rPr>
        <w:t xml:space="preserve">Students who acquire literacy skills in both print and </w:t>
      </w:r>
      <w:r w:rsidR="000D0DA4" w:rsidRPr="00810C3E">
        <w:rPr>
          <w:lang w:eastAsia="en-AU"/>
        </w:rPr>
        <w:t>b</w:t>
      </w:r>
      <w:r w:rsidRPr="00810C3E">
        <w:rPr>
          <w:lang w:eastAsia="en-AU"/>
        </w:rPr>
        <w:t>raille are known as dual media learners. Dual media instruction is delivered when a Functional Vision Assessment and Learning Media Assessment determine the need for instruction in both media</w:t>
      </w:r>
      <w:r w:rsidR="00BE4D3F" w:rsidRPr="00810C3E">
        <w:rPr>
          <w:lang w:eastAsia="en-AU"/>
        </w:rPr>
        <w:t xml:space="preserve"> </w:t>
      </w:r>
      <w:r w:rsidR="00BE4D3F" w:rsidRPr="00810C3E">
        <w:t>(</w:t>
      </w:r>
      <w:r w:rsidR="00D043EB" w:rsidRPr="00810C3E">
        <w:t>Koenig &amp; Holbrook, 1995</w:t>
      </w:r>
      <w:r w:rsidR="006926B1" w:rsidRPr="00810C3E">
        <w:rPr>
          <w:rStyle w:val="cf01"/>
          <w:rFonts w:ascii="Verdana" w:hAnsi="Verdana"/>
          <w:sz w:val="24"/>
          <w:szCs w:val="24"/>
        </w:rPr>
        <w:t>)</w:t>
      </w:r>
      <w:r w:rsidR="006E5A93" w:rsidRPr="00810C3E">
        <w:rPr>
          <w:rStyle w:val="cf01"/>
          <w:rFonts w:ascii="Verdana" w:hAnsi="Verdana"/>
          <w:sz w:val="24"/>
          <w:szCs w:val="24"/>
        </w:rPr>
        <w:t>.</w:t>
      </w:r>
      <w:r w:rsidR="006926B1" w:rsidRPr="00810C3E">
        <w:rPr>
          <w:rStyle w:val="cf01"/>
          <w:rFonts w:ascii="Verdana" w:hAnsi="Verdana"/>
          <w:sz w:val="24"/>
          <w:szCs w:val="24"/>
        </w:rPr>
        <w:t xml:space="preserve"> </w:t>
      </w:r>
      <w:r w:rsidRPr="00810C3E">
        <w:rPr>
          <w:lang w:eastAsia="en-AU"/>
        </w:rPr>
        <w:t xml:space="preserve"> </w:t>
      </w:r>
    </w:p>
    <w:p w14:paraId="638CE462" w14:textId="7D6333C6" w:rsidR="000D0DA4" w:rsidRPr="00810C3E" w:rsidRDefault="00AE16CD" w:rsidP="00810C3E">
      <w:pPr>
        <w:spacing w:line="360" w:lineRule="auto"/>
      </w:pPr>
      <w:r w:rsidRPr="00810C3E">
        <w:rPr>
          <w:rFonts w:eastAsia="Times New Roman" w:cs="Segoe UI"/>
          <w:color w:val="111111"/>
          <w:lang w:eastAsia="en-AU"/>
          <w14:ligatures w14:val="none"/>
        </w:rPr>
        <w:t xml:space="preserve">SPEVI </w:t>
      </w:r>
      <w:r w:rsidR="00000748" w:rsidRPr="00810C3E">
        <w:rPr>
          <w:rFonts w:eastAsia="Times New Roman" w:cs="Segoe UI"/>
          <w:color w:val="111111"/>
          <w:lang w:eastAsia="en-AU"/>
          <w14:ligatures w14:val="none"/>
        </w:rPr>
        <w:t xml:space="preserve">Inc. </w:t>
      </w:r>
      <w:r w:rsidRPr="00810C3E">
        <w:rPr>
          <w:rFonts w:eastAsia="Times New Roman" w:cs="Segoe UI"/>
          <w:color w:val="111111"/>
          <w:lang w:eastAsia="en-AU"/>
          <w14:ligatures w14:val="none"/>
        </w:rPr>
        <w:t>holds the position that d</w:t>
      </w:r>
      <w:r w:rsidR="009E51E1" w:rsidRPr="00810C3E">
        <w:t xml:space="preserve">ual media instruction </w:t>
      </w:r>
      <w:r w:rsidRPr="00810C3E">
        <w:t>should be provided</w:t>
      </w:r>
      <w:r w:rsidR="009E51E1" w:rsidRPr="00810C3E">
        <w:t xml:space="preserve"> for students who (i) have a progressive or deteriorating eye condition, (ii) require a font size larger than N36, (iii) have a reduced reading speed as compared with their sighted peers, and (iv) have difficulties maintaining visual stamina when reading print </w:t>
      </w:r>
      <w:r w:rsidR="005A2C7E" w:rsidRPr="00810C3E">
        <w:rPr>
          <w:rFonts w:eastAsia="Times New Roman" w:cs="Segoe UI"/>
          <w:color w:val="111111"/>
          <w:lang w:eastAsia="en-AU"/>
          <w14:ligatures w14:val="none"/>
        </w:rPr>
        <w:t>(</w:t>
      </w:r>
      <w:r w:rsidR="007F2A21" w:rsidRPr="00810C3E">
        <w:rPr>
          <w:rFonts w:eastAsia="Times New Roman" w:cs="Segoe UI"/>
          <w:color w:val="111111"/>
          <w:lang w:eastAsia="en-AU"/>
          <w14:ligatures w14:val="none"/>
        </w:rPr>
        <w:t>C</w:t>
      </w:r>
      <w:r w:rsidR="005A2C7E" w:rsidRPr="00810C3E">
        <w:rPr>
          <w:rFonts w:eastAsia="Times New Roman" w:cs="Segoe UI"/>
          <w:color w:val="111111"/>
          <w:lang w:eastAsia="en-AU"/>
          <w14:ligatures w14:val="none"/>
        </w:rPr>
        <w:t>orn &amp; Koenig, 2002; Koenig &amp; Holbrook, 2000). </w:t>
      </w:r>
      <w:r w:rsidR="009E51E1" w:rsidRPr="00810C3E">
        <w:t xml:space="preserve"> </w:t>
      </w:r>
    </w:p>
    <w:p w14:paraId="259D1584" w14:textId="51762A1F" w:rsidR="0032762D" w:rsidRPr="00810C3E" w:rsidRDefault="000D0DA4" w:rsidP="00810C3E">
      <w:pPr>
        <w:spacing w:line="360" w:lineRule="auto"/>
        <w:rPr>
          <w:rFonts w:eastAsia="Times New Roman" w:cs="Segoe UI"/>
          <w:color w:val="111111"/>
          <w:lang w:eastAsia="en-AU"/>
          <w14:ligatures w14:val="none"/>
        </w:rPr>
      </w:pPr>
      <w:r w:rsidRPr="00810C3E">
        <w:t xml:space="preserve">SPEVI </w:t>
      </w:r>
      <w:r w:rsidR="00000748" w:rsidRPr="00810C3E">
        <w:t xml:space="preserve">Inc. </w:t>
      </w:r>
      <w:r w:rsidR="00AE16CD" w:rsidRPr="00810C3E">
        <w:t>believe</w:t>
      </w:r>
      <w:r w:rsidRPr="00810C3E">
        <w:t xml:space="preserve">s </w:t>
      </w:r>
      <w:r w:rsidR="00AE16CD" w:rsidRPr="00810C3E">
        <w:t xml:space="preserve">it </w:t>
      </w:r>
      <w:r w:rsidR="009E51E1" w:rsidRPr="00810C3E">
        <w:t xml:space="preserve">is important that braille and print </w:t>
      </w:r>
      <w:r w:rsidR="00AE16CD" w:rsidRPr="00810C3E">
        <w:t xml:space="preserve">literacy </w:t>
      </w:r>
      <w:r w:rsidR="009E51E1" w:rsidRPr="00810C3E">
        <w:t>are taught concurrently and with the same level of frequency and consistency</w:t>
      </w:r>
      <w:r w:rsidR="000C0716" w:rsidRPr="00810C3E">
        <w:t xml:space="preserve">. Dual media instruction should be </w:t>
      </w:r>
      <w:r w:rsidR="005A2C7E" w:rsidRPr="00810C3E">
        <w:rPr>
          <w:rFonts w:eastAsia="Times New Roman" w:cs="Segoe UI"/>
          <w:color w:val="111111"/>
          <w:lang w:eastAsia="en-AU"/>
          <w14:ligatures w14:val="none"/>
        </w:rPr>
        <w:t>direct, intense, and consistent over a long period of time and should begin as early as possible (Winter, 2023)</w:t>
      </w:r>
      <w:r w:rsidR="0032762D" w:rsidRPr="00810C3E">
        <w:rPr>
          <w:rFonts w:eastAsia="Times New Roman" w:cs="Segoe UI"/>
          <w:color w:val="111111"/>
          <w:lang w:eastAsia="en-AU"/>
          <w14:ligatures w14:val="none"/>
        </w:rPr>
        <w:t>.</w:t>
      </w:r>
    </w:p>
    <w:p w14:paraId="29F31D5D" w14:textId="1C8AB099" w:rsidR="005A2C7E" w:rsidRPr="00810C3E" w:rsidRDefault="00000748" w:rsidP="00810C3E">
      <w:pPr>
        <w:pStyle w:val="Heading1"/>
      </w:pPr>
      <w:r w:rsidRPr="00810C3E">
        <w:rPr>
          <w:shd w:val="clear" w:color="auto" w:fill="FFFFFF"/>
        </w:rPr>
        <w:t xml:space="preserve">Essential </w:t>
      </w:r>
      <w:r w:rsidR="000C0716" w:rsidRPr="00810C3E">
        <w:rPr>
          <w:shd w:val="clear" w:color="auto" w:fill="FFFFFF"/>
        </w:rPr>
        <w:t xml:space="preserve">requirements </w:t>
      </w:r>
      <w:r w:rsidRPr="00810C3E">
        <w:rPr>
          <w:shd w:val="clear" w:color="auto" w:fill="FFFFFF"/>
        </w:rPr>
        <w:t>for braille</w:t>
      </w:r>
      <w:r w:rsidR="005A2C7E" w:rsidRPr="00810C3E">
        <w:rPr>
          <w:shd w:val="clear" w:color="auto" w:fill="FFFFFF"/>
        </w:rPr>
        <w:t xml:space="preserve"> </w:t>
      </w:r>
      <w:r w:rsidR="000D0DA4" w:rsidRPr="00810C3E">
        <w:rPr>
          <w:shd w:val="clear" w:color="auto" w:fill="FFFFFF"/>
        </w:rPr>
        <w:t>l</w:t>
      </w:r>
      <w:r w:rsidR="005A2C7E" w:rsidRPr="00810C3E">
        <w:rPr>
          <w:shd w:val="clear" w:color="auto" w:fill="FFFFFF"/>
        </w:rPr>
        <w:t>iteracy</w:t>
      </w:r>
      <w:r w:rsidRPr="00810C3E">
        <w:rPr>
          <w:shd w:val="clear" w:color="auto" w:fill="FFFFFF"/>
        </w:rPr>
        <w:t xml:space="preserve"> teaching and learning</w:t>
      </w:r>
      <w:r w:rsidR="005A2C7E" w:rsidRPr="00810C3E">
        <w:t> </w:t>
      </w:r>
    </w:p>
    <w:p w14:paraId="6EBA4236" w14:textId="5E382B08" w:rsidR="005A2C7E" w:rsidRPr="00810C3E" w:rsidRDefault="00AE16CD" w:rsidP="00810C3E">
      <w:pPr>
        <w:spacing w:line="360" w:lineRule="auto"/>
        <w:rPr>
          <w:lang w:eastAsia="en-AU"/>
        </w:rPr>
      </w:pPr>
      <w:r w:rsidRPr="00810C3E">
        <w:rPr>
          <w:shd w:val="clear" w:color="auto" w:fill="FFFFFF"/>
          <w:lang w:eastAsia="en-AU"/>
        </w:rPr>
        <w:t>SPEVI</w:t>
      </w:r>
      <w:r w:rsidR="00000748" w:rsidRPr="00810C3E">
        <w:rPr>
          <w:shd w:val="clear" w:color="auto" w:fill="FFFFFF"/>
          <w:lang w:eastAsia="en-AU"/>
        </w:rPr>
        <w:t xml:space="preserve"> Inc.</w:t>
      </w:r>
      <w:r w:rsidRPr="00810C3E">
        <w:rPr>
          <w:shd w:val="clear" w:color="auto" w:fill="FFFFFF"/>
          <w:lang w:eastAsia="en-AU"/>
        </w:rPr>
        <w:t xml:space="preserve"> holds the position that access to braille literacy</w:t>
      </w:r>
      <w:r w:rsidR="000C0716" w:rsidRPr="00810C3E">
        <w:rPr>
          <w:shd w:val="clear" w:color="auto" w:fill="FFFFFF"/>
          <w:lang w:eastAsia="en-AU"/>
        </w:rPr>
        <w:t xml:space="preserve"> is a fundamental </w:t>
      </w:r>
      <w:r w:rsidR="000D0DA4" w:rsidRPr="00810C3E">
        <w:rPr>
          <w:shd w:val="clear" w:color="auto" w:fill="FFFFFF"/>
          <w:lang w:eastAsia="en-AU"/>
        </w:rPr>
        <w:t xml:space="preserve">right </w:t>
      </w:r>
      <w:r w:rsidRPr="00810C3E">
        <w:rPr>
          <w:shd w:val="clear" w:color="auto" w:fill="FFFFFF"/>
          <w:lang w:eastAsia="en-AU"/>
        </w:rPr>
        <w:t>for</w:t>
      </w:r>
      <w:r w:rsidR="000C0716" w:rsidRPr="00810C3E">
        <w:rPr>
          <w:shd w:val="clear" w:color="auto" w:fill="FFFFFF"/>
          <w:lang w:eastAsia="en-AU"/>
        </w:rPr>
        <w:t xml:space="preserve"> </w:t>
      </w:r>
      <w:r w:rsidR="005A2C7E" w:rsidRPr="00810C3E">
        <w:rPr>
          <w:shd w:val="clear" w:color="auto" w:fill="FFFFFF"/>
          <w:lang w:eastAsia="en-AU"/>
        </w:rPr>
        <w:t xml:space="preserve">students </w:t>
      </w:r>
      <w:r w:rsidR="000D0DA4" w:rsidRPr="00810C3E">
        <w:rPr>
          <w:shd w:val="clear" w:color="auto" w:fill="FFFFFF"/>
          <w:lang w:eastAsia="en-AU"/>
        </w:rPr>
        <w:t>who are blind or have low vision</w:t>
      </w:r>
      <w:r w:rsidRPr="00810C3E">
        <w:rPr>
          <w:shd w:val="clear" w:color="auto" w:fill="FFFFFF"/>
          <w:lang w:eastAsia="en-AU"/>
        </w:rPr>
        <w:t>. We believe the following requirements are essential in achieving equity of education access for students w</w:t>
      </w:r>
      <w:r w:rsidR="000D0DA4" w:rsidRPr="00810C3E">
        <w:rPr>
          <w:shd w:val="clear" w:color="auto" w:fill="FFFFFF"/>
          <w:lang w:eastAsia="en-AU"/>
        </w:rPr>
        <w:t>ho are blind or have low vision</w:t>
      </w:r>
      <w:r w:rsidRPr="00810C3E">
        <w:rPr>
          <w:shd w:val="clear" w:color="auto" w:fill="FFFFFF"/>
          <w:lang w:eastAsia="en-AU"/>
        </w:rPr>
        <w:t>:</w:t>
      </w:r>
      <w:r w:rsidR="000C0716" w:rsidRPr="00810C3E">
        <w:rPr>
          <w:lang w:eastAsia="en-AU"/>
        </w:rPr>
        <w:t xml:space="preserve"> </w:t>
      </w:r>
    </w:p>
    <w:p w14:paraId="1963201B" w14:textId="77777777" w:rsidR="00DF3B57" w:rsidRPr="00810C3E" w:rsidRDefault="00DF3B57" w:rsidP="00810C3E">
      <w:pPr>
        <w:spacing w:after="0" w:line="360" w:lineRule="auto"/>
        <w:textAlignment w:val="baseline"/>
        <w:rPr>
          <w:rFonts w:eastAsia="Times New Roman" w:cs="Segoe UI"/>
          <w:kern w:val="0"/>
          <w:szCs w:val="24"/>
          <w:lang w:eastAsia="en-AU"/>
          <w14:ligatures w14:val="none"/>
        </w:rPr>
      </w:pPr>
    </w:p>
    <w:p w14:paraId="66CD1697" w14:textId="7838F8F2" w:rsidR="00D043EB" w:rsidRPr="00810C3E" w:rsidRDefault="005A2C7E" w:rsidP="00810C3E">
      <w:pPr>
        <w:pStyle w:val="ListParagraph"/>
        <w:numPr>
          <w:ilvl w:val="0"/>
          <w:numId w:val="16"/>
        </w:numPr>
        <w:spacing w:line="360" w:lineRule="auto"/>
        <w:rPr>
          <w:color w:val="000000"/>
          <w:shd w:val="clear" w:color="auto" w:fill="FFFFFF"/>
          <w:lang w:eastAsia="en-AU"/>
        </w:rPr>
      </w:pPr>
      <w:r w:rsidRPr="00810C3E">
        <w:rPr>
          <w:lang w:eastAsia="en-AU"/>
        </w:rPr>
        <w:t xml:space="preserve">Qualified </w:t>
      </w:r>
      <w:r w:rsidR="000D0DA4" w:rsidRPr="00810C3E">
        <w:rPr>
          <w:lang w:eastAsia="en-AU"/>
        </w:rPr>
        <w:t>Specialist Teachers (Vision</w:t>
      </w:r>
      <w:r w:rsidR="00000748" w:rsidRPr="00810C3E">
        <w:rPr>
          <w:lang w:eastAsia="en-AU"/>
        </w:rPr>
        <w:t xml:space="preserve"> Impairment</w:t>
      </w:r>
      <w:r w:rsidR="000D0DA4" w:rsidRPr="00810C3E">
        <w:rPr>
          <w:lang w:eastAsia="en-AU"/>
        </w:rPr>
        <w:t>)</w:t>
      </w:r>
      <w:r w:rsidRPr="00810C3E">
        <w:rPr>
          <w:lang w:eastAsia="en-AU"/>
        </w:rPr>
        <w:t>: These professionals play a crucial role in providing individualised support, training and guidance to students, school staff</w:t>
      </w:r>
      <w:r w:rsidR="00DF3B57" w:rsidRPr="00810C3E">
        <w:rPr>
          <w:lang w:eastAsia="en-AU"/>
        </w:rPr>
        <w:t>, allied health professionals,</w:t>
      </w:r>
      <w:r w:rsidRPr="00810C3E">
        <w:rPr>
          <w:lang w:eastAsia="en-AU"/>
        </w:rPr>
        <w:t xml:space="preserve"> and families. </w:t>
      </w:r>
      <w:r w:rsidR="003A4BA2" w:rsidRPr="00810C3E">
        <w:rPr>
          <w:lang w:eastAsia="en-AU"/>
        </w:rPr>
        <w:t xml:space="preserve">Increased numbers of qualified </w:t>
      </w:r>
      <w:r w:rsidR="00DF3B57" w:rsidRPr="00810C3E">
        <w:rPr>
          <w:lang w:eastAsia="en-AU"/>
        </w:rPr>
        <w:t>Specialist T</w:t>
      </w:r>
      <w:r w:rsidR="003A4BA2" w:rsidRPr="00810C3E">
        <w:rPr>
          <w:lang w:eastAsia="en-AU"/>
        </w:rPr>
        <w:t xml:space="preserve">eachers </w:t>
      </w:r>
      <w:r w:rsidR="00DF3B57" w:rsidRPr="00810C3E">
        <w:rPr>
          <w:lang w:eastAsia="en-AU"/>
        </w:rPr>
        <w:t>(Vision</w:t>
      </w:r>
      <w:r w:rsidR="00000748" w:rsidRPr="00810C3E">
        <w:rPr>
          <w:lang w:eastAsia="en-AU"/>
        </w:rPr>
        <w:t xml:space="preserve"> Impairment</w:t>
      </w:r>
      <w:r w:rsidR="00DF3B57" w:rsidRPr="00810C3E">
        <w:rPr>
          <w:lang w:eastAsia="en-AU"/>
        </w:rPr>
        <w:t xml:space="preserve">) </w:t>
      </w:r>
      <w:r w:rsidR="003A4BA2" w:rsidRPr="00810C3E">
        <w:rPr>
          <w:lang w:eastAsia="en-AU"/>
        </w:rPr>
        <w:t xml:space="preserve">will expand access </w:t>
      </w:r>
      <w:r w:rsidRPr="00810C3E">
        <w:rPr>
          <w:color w:val="000000"/>
          <w:shd w:val="clear" w:color="auto" w:fill="FFFFFF"/>
          <w:lang w:eastAsia="en-AU"/>
        </w:rPr>
        <w:t xml:space="preserve">to explicit instruction in </w:t>
      </w:r>
      <w:r w:rsidR="00DF3B57" w:rsidRPr="00810C3E">
        <w:rPr>
          <w:color w:val="000000"/>
          <w:shd w:val="clear" w:color="auto" w:fill="FFFFFF"/>
          <w:lang w:eastAsia="en-AU"/>
        </w:rPr>
        <w:t>b</w:t>
      </w:r>
      <w:r w:rsidRPr="00810C3E">
        <w:rPr>
          <w:color w:val="000000"/>
          <w:shd w:val="clear" w:color="auto" w:fill="FFFFFF"/>
          <w:lang w:eastAsia="en-AU"/>
        </w:rPr>
        <w:t>raill</w:t>
      </w:r>
      <w:r w:rsidR="00DF3B57" w:rsidRPr="00810C3E">
        <w:rPr>
          <w:color w:val="000000"/>
          <w:shd w:val="clear" w:color="auto" w:fill="FFFFFF"/>
          <w:lang w:eastAsia="en-AU"/>
        </w:rPr>
        <w:t xml:space="preserve">e, </w:t>
      </w:r>
      <w:r w:rsidR="003A4BA2" w:rsidRPr="00810C3E">
        <w:rPr>
          <w:color w:val="000000"/>
          <w:shd w:val="clear" w:color="auto" w:fill="FFFFFF"/>
          <w:lang w:eastAsia="en-AU"/>
        </w:rPr>
        <w:t xml:space="preserve">improve </w:t>
      </w:r>
      <w:r w:rsidR="00DF3B57" w:rsidRPr="00810C3E">
        <w:rPr>
          <w:color w:val="000000"/>
          <w:shd w:val="clear" w:color="auto" w:fill="FFFFFF"/>
          <w:lang w:eastAsia="en-AU"/>
        </w:rPr>
        <w:t xml:space="preserve">the </w:t>
      </w:r>
      <w:r w:rsidRPr="00810C3E">
        <w:rPr>
          <w:color w:val="000000"/>
          <w:shd w:val="clear" w:color="auto" w:fill="FFFFFF"/>
          <w:lang w:eastAsia="en-AU"/>
        </w:rPr>
        <w:t xml:space="preserve">development of </w:t>
      </w:r>
      <w:r w:rsidR="00DF3B57" w:rsidRPr="00810C3E">
        <w:rPr>
          <w:color w:val="000000"/>
          <w:shd w:val="clear" w:color="auto" w:fill="FFFFFF"/>
          <w:lang w:eastAsia="en-AU"/>
        </w:rPr>
        <w:t>b</w:t>
      </w:r>
      <w:r w:rsidRPr="00810C3E">
        <w:rPr>
          <w:color w:val="000000"/>
          <w:shd w:val="clear" w:color="auto" w:fill="FFFFFF"/>
          <w:lang w:eastAsia="en-AU"/>
        </w:rPr>
        <w:t>raille literacy</w:t>
      </w:r>
      <w:r w:rsidR="00DF3B57" w:rsidRPr="00810C3E">
        <w:rPr>
          <w:color w:val="000000"/>
          <w:shd w:val="clear" w:color="auto" w:fill="FFFFFF"/>
          <w:lang w:eastAsia="en-AU"/>
        </w:rPr>
        <w:t xml:space="preserve">, and </w:t>
      </w:r>
      <w:r w:rsidR="003A4BA2" w:rsidRPr="00810C3E">
        <w:rPr>
          <w:color w:val="000000"/>
          <w:shd w:val="clear" w:color="auto" w:fill="FFFFFF"/>
          <w:lang w:eastAsia="en-AU"/>
        </w:rPr>
        <w:t xml:space="preserve">increase </w:t>
      </w:r>
      <w:r w:rsidR="00DF3B57" w:rsidRPr="00810C3E">
        <w:rPr>
          <w:color w:val="000000"/>
          <w:shd w:val="clear" w:color="auto" w:fill="FFFFFF"/>
          <w:lang w:eastAsia="en-AU"/>
        </w:rPr>
        <w:t>access to an equitable education.</w:t>
      </w:r>
      <w:r w:rsidRPr="00810C3E">
        <w:rPr>
          <w:color w:val="000000"/>
          <w:shd w:val="clear" w:color="auto" w:fill="FFFFFF"/>
          <w:lang w:eastAsia="en-AU"/>
        </w:rPr>
        <w:t xml:space="preserve"> </w:t>
      </w:r>
    </w:p>
    <w:p w14:paraId="1A2322AD" w14:textId="5079A6D8" w:rsidR="00000748" w:rsidRPr="00810C3E" w:rsidRDefault="005A2C7E" w:rsidP="00810C3E">
      <w:pPr>
        <w:pStyle w:val="ListParagraph"/>
        <w:numPr>
          <w:ilvl w:val="0"/>
          <w:numId w:val="16"/>
        </w:numPr>
        <w:spacing w:line="360" w:lineRule="auto"/>
        <w:rPr>
          <w:lang w:eastAsia="en-AU"/>
        </w:rPr>
      </w:pPr>
      <w:r w:rsidRPr="00810C3E">
        <w:rPr>
          <w:lang w:eastAsia="en-AU"/>
        </w:rPr>
        <w:t xml:space="preserve">Accessible </w:t>
      </w:r>
      <w:r w:rsidR="00DF3B57" w:rsidRPr="00810C3E">
        <w:rPr>
          <w:lang w:eastAsia="en-AU"/>
        </w:rPr>
        <w:t>e</w:t>
      </w:r>
      <w:r w:rsidRPr="00810C3E">
        <w:rPr>
          <w:lang w:eastAsia="en-AU"/>
        </w:rPr>
        <w:t xml:space="preserve">ducational </w:t>
      </w:r>
      <w:r w:rsidR="00DF3B57" w:rsidRPr="00810C3E">
        <w:rPr>
          <w:lang w:eastAsia="en-AU"/>
        </w:rPr>
        <w:t>m</w:t>
      </w:r>
      <w:r w:rsidRPr="00810C3E">
        <w:rPr>
          <w:lang w:eastAsia="en-AU"/>
        </w:rPr>
        <w:t xml:space="preserve">aterials: Producing and providing educational materials </w:t>
      </w:r>
      <w:r w:rsidR="00A41232" w:rsidRPr="00810C3E">
        <w:rPr>
          <w:lang w:eastAsia="en-AU"/>
        </w:rPr>
        <w:t xml:space="preserve">by trained </w:t>
      </w:r>
      <w:r w:rsidR="00DF3B57" w:rsidRPr="00810C3E">
        <w:rPr>
          <w:lang w:eastAsia="en-AU"/>
        </w:rPr>
        <w:t>b</w:t>
      </w:r>
      <w:r w:rsidR="00A41232" w:rsidRPr="00810C3E">
        <w:rPr>
          <w:lang w:eastAsia="en-AU"/>
        </w:rPr>
        <w:t xml:space="preserve">raille transcribers </w:t>
      </w:r>
      <w:r w:rsidRPr="00810C3E">
        <w:rPr>
          <w:lang w:eastAsia="en-AU"/>
        </w:rPr>
        <w:t xml:space="preserve">such as </w:t>
      </w:r>
      <w:r w:rsidR="00DF3B57" w:rsidRPr="00810C3E">
        <w:rPr>
          <w:lang w:eastAsia="en-AU"/>
        </w:rPr>
        <w:t>b</w:t>
      </w:r>
      <w:r w:rsidRPr="00810C3E">
        <w:rPr>
          <w:lang w:eastAsia="en-AU"/>
        </w:rPr>
        <w:t>raille textbooks and tactile diagrams requires adequate</w:t>
      </w:r>
      <w:r w:rsidR="00A41232" w:rsidRPr="00810C3E">
        <w:rPr>
          <w:lang w:eastAsia="en-AU"/>
        </w:rPr>
        <w:t xml:space="preserve"> and ongoing</w:t>
      </w:r>
      <w:r w:rsidRPr="00810C3E">
        <w:rPr>
          <w:lang w:eastAsia="en-AU"/>
        </w:rPr>
        <w:t xml:space="preserve"> funding. </w:t>
      </w:r>
    </w:p>
    <w:p w14:paraId="3CC8217F" w14:textId="65A4A229" w:rsidR="00287812" w:rsidRPr="00810C3E" w:rsidRDefault="005A2C7E" w:rsidP="00810C3E">
      <w:pPr>
        <w:pStyle w:val="ListParagraph"/>
        <w:numPr>
          <w:ilvl w:val="0"/>
          <w:numId w:val="16"/>
        </w:numPr>
        <w:spacing w:line="360" w:lineRule="auto"/>
        <w:rPr>
          <w:lang w:eastAsia="en-AU"/>
        </w:rPr>
      </w:pPr>
      <w:r w:rsidRPr="00810C3E">
        <w:rPr>
          <w:lang w:eastAsia="en-AU"/>
        </w:rPr>
        <w:t xml:space="preserve">Professional </w:t>
      </w:r>
      <w:r w:rsidR="00DF3B57" w:rsidRPr="00810C3E">
        <w:rPr>
          <w:lang w:eastAsia="en-AU"/>
        </w:rPr>
        <w:t>d</w:t>
      </w:r>
      <w:r w:rsidRPr="00810C3E">
        <w:rPr>
          <w:lang w:eastAsia="en-AU"/>
        </w:rPr>
        <w:t>evelopment: Ongoing training and professional development for</w:t>
      </w:r>
      <w:r w:rsidR="00A41232" w:rsidRPr="00810C3E">
        <w:rPr>
          <w:lang w:eastAsia="en-AU"/>
        </w:rPr>
        <w:t xml:space="preserve"> </w:t>
      </w:r>
      <w:r w:rsidR="00DF3B57" w:rsidRPr="00810C3E">
        <w:rPr>
          <w:lang w:eastAsia="en-AU"/>
        </w:rPr>
        <w:t xml:space="preserve">teachers </w:t>
      </w:r>
      <w:r w:rsidRPr="00810C3E">
        <w:rPr>
          <w:lang w:eastAsia="en-AU"/>
        </w:rPr>
        <w:t xml:space="preserve">and support staff regarding best practices for teaching students </w:t>
      </w:r>
      <w:r w:rsidR="00DF3B57" w:rsidRPr="00810C3E">
        <w:rPr>
          <w:lang w:eastAsia="en-AU"/>
        </w:rPr>
        <w:t>who are blind or have low vision</w:t>
      </w:r>
      <w:r w:rsidRPr="00810C3E">
        <w:rPr>
          <w:lang w:eastAsia="en-AU"/>
        </w:rPr>
        <w:t> </w:t>
      </w:r>
      <w:r w:rsidR="00A41232" w:rsidRPr="00810C3E">
        <w:rPr>
          <w:lang w:eastAsia="en-AU"/>
        </w:rPr>
        <w:t xml:space="preserve">is imperative. </w:t>
      </w:r>
    </w:p>
    <w:p w14:paraId="00A59E30" w14:textId="3157211F" w:rsidR="00D7704B" w:rsidRPr="00810C3E" w:rsidRDefault="005A2C7E" w:rsidP="00810C3E">
      <w:pPr>
        <w:pStyle w:val="ListParagraph"/>
        <w:numPr>
          <w:ilvl w:val="0"/>
          <w:numId w:val="16"/>
        </w:numPr>
        <w:spacing w:line="360" w:lineRule="auto"/>
        <w:rPr>
          <w:lang w:eastAsia="en-AU"/>
        </w:rPr>
      </w:pPr>
      <w:r w:rsidRPr="00810C3E">
        <w:rPr>
          <w:lang w:eastAsia="en-AU"/>
        </w:rPr>
        <w:t xml:space="preserve">Access </w:t>
      </w:r>
      <w:r w:rsidR="00DF3B57" w:rsidRPr="00810C3E">
        <w:rPr>
          <w:lang w:eastAsia="en-AU"/>
        </w:rPr>
        <w:t>t</w:t>
      </w:r>
      <w:r w:rsidRPr="00810C3E">
        <w:rPr>
          <w:lang w:eastAsia="en-AU"/>
        </w:rPr>
        <w:t xml:space="preserve">echnology: Adequate funding is crucial for providing access to specialised </w:t>
      </w:r>
      <w:r w:rsidR="00DF3B57" w:rsidRPr="00810C3E">
        <w:rPr>
          <w:lang w:eastAsia="en-AU"/>
        </w:rPr>
        <w:t>b</w:t>
      </w:r>
      <w:r w:rsidR="00A41232" w:rsidRPr="00810C3E">
        <w:rPr>
          <w:lang w:eastAsia="en-AU"/>
        </w:rPr>
        <w:t>raille reading and writing</w:t>
      </w:r>
      <w:r w:rsidRPr="00810C3E">
        <w:rPr>
          <w:lang w:eastAsia="en-AU"/>
        </w:rPr>
        <w:t xml:space="preserve"> technologies</w:t>
      </w:r>
      <w:r w:rsidR="00A41232" w:rsidRPr="00810C3E">
        <w:rPr>
          <w:lang w:eastAsia="en-AU"/>
        </w:rPr>
        <w:t>.</w:t>
      </w:r>
      <w:r w:rsidR="002A333C" w:rsidRPr="00810C3E">
        <w:rPr>
          <w:lang w:eastAsia="en-AU"/>
        </w:rPr>
        <w:t xml:space="preserve"> Technology needs to be supported within the education system and students and teachers trained in the effective use and maintenance of devices (Fanshawe, </w:t>
      </w:r>
      <w:r w:rsidR="00A75519" w:rsidRPr="00810C3E">
        <w:rPr>
          <w:lang w:eastAsia="en-AU"/>
        </w:rPr>
        <w:t>2022</w:t>
      </w:r>
      <w:r w:rsidR="002A333C" w:rsidRPr="00810C3E">
        <w:rPr>
          <w:lang w:eastAsia="en-AU"/>
        </w:rPr>
        <w:t>)</w:t>
      </w:r>
      <w:r w:rsidR="00D7704B" w:rsidRPr="00810C3E">
        <w:rPr>
          <w:lang w:eastAsia="en-AU"/>
        </w:rPr>
        <w:t>.</w:t>
      </w:r>
    </w:p>
    <w:p w14:paraId="4762D78F" w14:textId="6BFE8CF1" w:rsidR="00A75519" w:rsidRPr="00810C3E" w:rsidRDefault="005A2C7E" w:rsidP="00810C3E">
      <w:pPr>
        <w:pStyle w:val="ListParagraph"/>
        <w:numPr>
          <w:ilvl w:val="0"/>
          <w:numId w:val="16"/>
        </w:numPr>
        <w:spacing w:line="360" w:lineRule="auto"/>
        <w:rPr>
          <w:lang w:eastAsia="en-AU"/>
        </w:rPr>
      </w:pPr>
      <w:r w:rsidRPr="00810C3E">
        <w:rPr>
          <w:lang w:eastAsia="en-AU"/>
        </w:rPr>
        <w:t xml:space="preserve">Accessibility of </w:t>
      </w:r>
      <w:r w:rsidR="00DF3B57" w:rsidRPr="00810C3E">
        <w:rPr>
          <w:lang w:eastAsia="en-AU"/>
        </w:rPr>
        <w:t>l</w:t>
      </w:r>
      <w:r w:rsidRPr="00810C3E">
        <w:rPr>
          <w:lang w:eastAsia="en-AU"/>
        </w:rPr>
        <w:t xml:space="preserve">earning </w:t>
      </w:r>
      <w:r w:rsidR="00DF3B57" w:rsidRPr="00810C3E">
        <w:rPr>
          <w:lang w:eastAsia="en-AU"/>
        </w:rPr>
        <w:t>e</w:t>
      </w:r>
      <w:r w:rsidRPr="00810C3E">
        <w:rPr>
          <w:lang w:eastAsia="en-AU"/>
        </w:rPr>
        <w:t xml:space="preserve">nvironments: </w:t>
      </w:r>
      <w:r w:rsidR="00000748" w:rsidRPr="00810C3E">
        <w:rPr>
          <w:lang w:eastAsia="en-AU"/>
        </w:rPr>
        <w:t>Adequate</w:t>
      </w:r>
      <w:r w:rsidR="00A75519" w:rsidRPr="00810C3E">
        <w:rPr>
          <w:lang w:eastAsia="en-AU"/>
        </w:rPr>
        <w:t xml:space="preserve"> funding is required </w:t>
      </w:r>
      <w:r w:rsidR="00DF3B57" w:rsidRPr="00810C3E">
        <w:rPr>
          <w:lang w:eastAsia="en-AU"/>
        </w:rPr>
        <w:t>to accommodate students who are blind or have low vision in their</w:t>
      </w:r>
      <w:r w:rsidRPr="00810C3E">
        <w:rPr>
          <w:lang w:eastAsia="en-AU"/>
        </w:rPr>
        <w:t xml:space="preserve"> learning environments. This includes accessible physical spaces, adequate signage, and resources for modifying classrooms to cater to the needs of students, thus imp</w:t>
      </w:r>
      <w:r w:rsidR="00A75519" w:rsidRPr="00810C3E">
        <w:rPr>
          <w:lang w:eastAsia="en-AU"/>
        </w:rPr>
        <w:t>roving</w:t>
      </w:r>
      <w:r w:rsidRPr="00810C3E">
        <w:rPr>
          <w:lang w:eastAsia="en-AU"/>
        </w:rPr>
        <w:t xml:space="preserve"> their participation and engagement in the educational process. </w:t>
      </w:r>
    </w:p>
    <w:p w14:paraId="22353E84" w14:textId="73263953" w:rsidR="00D7704B" w:rsidRPr="00810C3E" w:rsidRDefault="00DF3B57" w:rsidP="00810C3E">
      <w:pPr>
        <w:pStyle w:val="ListParagraph"/>
        <w:numPr>
          <w:ilvl w:val="0"/>
          <w:numId w:val="16"/>
        </w:numPr>
        <w:spacing w:line="360" w:lineRule="auto"/>
        <w:rPr>
          <w:lang w:eastAsia="en-AU"/>
        </w:rPr>
      </w:pPr>
      <w:r w:rsidRPr="00810C3E">
        <w:rPr>
          <w:lang w:eastAsia="en-AU"/>
        </w:rPr>
        <w:t>A</w:t>
      </w:r>
      <w:r w:rsidR="00A234C1" w:rsidRPr="00810C3E">
        <w:rPr>
          <w:lang w:eastAsia="en-AU"/>
        </w:rPr>
        <w:t>dditional supports for students in rural and remote areas, including Indigenous students</w:t>
      </w:r>
      <w:r w:rsidR="00A75519" w:rsidRPr="00810C3E">
        <w:rPr>
          <w:lang w:eastAsia="en-AU"/>
        </w:rPr>
        <w:t xml:space="preserve">:  </w:t>
      </w:r>
      <w:r w:rsidR="00A234C1" w:rsidRPr="00810C3E">
        <w:rPr>
          <w:lang w:eastAsia="en-AU"/>
        </w:rPr>
        <w:t xml:space="preserve">Recognising the impact of distance on the equitable education of students learning braille in rural and remote </w:t>
      </w:r>
      <w:r w:rsidR="00A234C1" w:rsidRPr="00810C3E">
        <w:rPr>
          <w:lang w:eastAsia="en-AU"/>
        </w:rPr>
        <w:lastRenderedPageBreak/>
        <w:t xml:space="preserve">areas, including those who are Indigenous, </w:t>
      </w:r>
      <w:r w:rsidR="001B33C7" w:rsidRPr="00810C3E">
        <w:rPr>
          <w:lang w:eastAsia="en-AU"/>
        </w:rPr>
        <w:t>adequate</w:t>
      </w:r>
      <w:r w:rsidR="0074078A" w:rsidRPr="00810C3E">
        <w:rPr>
          <w:lang w:eastAsia="en-AU"/>
        </w:rPr>
        <w:t xml:space="preserve"> funding for travel, training and development and technologies</w:t>
      </w:r>
      <w:r w:rsidR="00A234C1" w:rsidRPr="00810C3E">
        <w:rPr>
          <w:lang w:eastAsia="en-AU"/>
        </w:rPr>
        <w:t xml:space="preserve"> should be made available</w:t>
      </w:r>
      <w:r w:rsidR="0074078A" w:rsidRPr="00810C3E">
        <w:rPr>
          <w:lang w:eastAsia="en-AU"/>
        </w:rPr>
        <w:t xml:space="preserve"> to </w:t>
      </w:r>
      <w:r w:rsidR="00A234C1" w:rsidRPr="00810C3E">
        <w:rPr>
          <w:lang w:eastAsia="en-AU"/>
        </w:rPr>
        <w:t>support</w:t>
      </w:r>
      <w:r w:rsidR="0074078A" w:rsidRPr="00810C3E">
        <w:rPr>
          <w:lang w:eastAsia="en-AU"/>
        </w:rPr>
        <w:t xml:space="preserve"> </w:t>
      </w:r>
      <w:r w:rsidR="00A234C1" w:rsidRPr="00810C3E">
        <w:rPr>
          <w:lang w:eastAsia="en-AU"/>
        </w:rPr>
        <w:t>b</w:t>
      </w:r>
      <w:r w:rsidR="0074078A" w:rsidRPr="00810C3E">
        <w:rPr>
          <w:lang w:eastAsia="en-AU"/>
        </w:rPr>
        <w:t xml:space="preserve">raille literacy </w:t>
      </w:r>
      <w:r w:rsidR="00A234C1" w:rsidRPr="00810C3E">
        <w:rPr>
          <w:lang w:eastAsia="en-AU"/>
        </w:rPr>
        <w:t>learning.</w:t>
      </w:r>
    </w:p>
    <w:p w14:paraId="01A74951" w14:textId="0F88FE1E" w:rsidR="005A2C7E" w:rsidRPr="00810C3E" w:rsidRDefault="005A2C7E" w:rsidP="00810C3E">
      <w:pPr>
        <w:pStyle w:val="Heading1"/>
      </w:pPr>
      <w:r w:rsidRPr="00810C3E">
        <w:rPr>
          <w:shd w:val="clear" w:color="auto" w:fill="FFFFFF"/>
        </w:rPr>
        <w:t xml:space="preserve">A Call to </w:t>
      </w:r>
      <w:r w:rsidR="00235F92" w:rsidRPr="00810C3E">
        <w:rPr>
          <w:shd w:val="clear" w:color="auto" w:fill="FFFFFF"/>
        </w:rPr>
        <w:t>A</w:t>
      </w:r>
      <w:r w:rsidRPr="00810C3E">
        <w:rPr>
          <w:shd w:val="clear" w:color="auto" w:fill="FFFFFF"/>
        </w:rPr>
        <w:t>ction</w:t>
      </w:r>
      <w:r w:rsidRPr="00810C3E">
        <w:t> </w:t>
      </w:r>
    </w:p>
    <w:p w14:paraId="09B44CD8" w14:textId="673FD0A3" w:rsidR="005A2C7E" w:rsidRPr="00810C3E" w:rsidRDefault="00AE16CD" w:rsidP="00810C3E">
      <w:pPr>
        <w:spacing w:line="360" w:lineRule="auto"/>
        <w:rPr>
          <w:lang w:eastAsia="en-AU"/>
        </w:rPr>
      </w:pPr>
      <w:r w:rsidRPr="00810C3E">
        <w:rPr>
          <w:shd w:val="clear" w:color="auto" w:fill="FFFFFF"/>
          <w:lang w:eastAsia="en-AU"/>
        </w:rPr>
        <w:t xml:space="preserve">SPEVI </w:t>
      </w:r>
      <w:r w:rsidR="001B33C7" w:rsidRPr="00810C3E">
        <w:rPr>
          <w:shd w:val="clear" w:color="auto" w:fill="FFFFFF"/>
          <w:lang w:eastAsia="en-AU"/>
        </w:rPr>
        <w:t xml:space="preserve">Inc. </w:t>
      </w:r>
      <w:r w:rsidRPr="00810C3E">
        <w:rPr>
          <w:shd w:val="clear" w:color="auto" w:fill="FFFFFF"/>
          <w:lang w:eastAsia="en-AU"/>
        </w:rPr>
        <w:t xml:space="preserve">calls on Australian state and territory </w:t>
      </w:r>
      <w:r w:rsidR="005A2C7E" w:rsidRPr="00810C3E">
        <w:rPr>
          <w:shd w:val="clear" w:color="auto" w:fill="FFFFFF"/>
          <w:lang w:eastAsia="en-AU"/>
        </w:rPr>
        <w:t>education departments to prioritise the following:</w:t>
      </w:r>
      <w:r w:rsidR="005A2C7E" w:rsidRPr="00810C3E">
        <w:rPr>
          <w:lang w:eastAsia="en-AU"/>
        </w:rPr>
        <w:t> </w:t>
      </w:r>
    </w:p>
    <w:p w14:paraId="64F4B895" w14:textId="77777777" w:rsidR="005A2C7E" w:rsidRPr="00810C3E" w:rsidRDefault="005A2C7E" w:rsidP="00810C3E">
      <w:pPr>
        <w:pStyle w:val="Heading2"/>
        <w:spacing w:line="360" w:lineRule="auto"/>
      </w:pPr>
      <w:r w:rsidRPr="00810C3E">
        <w:t>Curriculum </w:t>
      </w:r>
    </w:p>
    <w:p w14:paraId="1B5A27BA" w14:textId="0FF658EA" w:rsidR="005A2C7E" w:rsidRPr="00810C3E" w:rsidRDefault="00C970BE" w:rsidP="00810C3E">
      <w:pPr>
        <w:numPr>
          <w:ilvl w:val="0"/>
          <w:numId w:val="6"/>
        </w:numPr>
        <w:spacing w:after="0" w:line="360" w:lineRule="auto"/>
        <w:ind w:left="709" w:hanging="283"/>
        <w:textAlignment w:val="baseline"/>
        <w:rPr>
          <w:rFonts w:eastAsia="Times New Roman" w:cs="Segoe UI"/>
          <w:kern w:val="0"/>
          <w:szCs w:val="24"/>
          <w:lang w:eastAsia="en-AU"/>
          <w14:ligatures w14:val="none"/>
        </w:rPr>
      </w:pPr>
      <w:r w:rsidRPr="00810C3E">
        <w:rPr>
          <w:rFonts w:eastAsia="Times New Roman" w:cs="Segoe UI"/>
          <w:color w:val="000000"/>
          <w:kern w:val="0"/>
          <w:szCs w:val="24"/>
          <w:shd w:val="clear" w:color="auto" w:fill="FFFFFF"/>
          <w:lang w:eastAsia="en-AU"/>
          <w14:ligatures w14:val="none"/>
        </w:rPr>
        <w:t xml:space="preserve">The provision </w:t>
      </w:r>
      <w:r w:rsidR="005749AB" w:rsidRPr="00810C3E">
        <w:rPr>
          <w:rFonts w:eastAsia="Times New Roman" w:cs="Segoe UI"/>
          <w:color w:val="000000"/>
          <w:kern w:val="0"/>
          <w:szCs w:val="24"/>
          <w:shd w:val="clear" w:color="auto" w:fill="FFFFFF"/>
          <w:lang w:eastAsia="en-AU"/>
          <w14:ligatures w14:val="none"/>
        </w:rPr>
        <w:t xml:space="preserve">of </w:t>
      </w:r>
      <w:r w:rsidRPr="00810C3E">
        <w:rPr>
          <w:rFonts w:eastAsia="Times New Roman" w:cs="Segoe UI"/>
          <w:color w:val="000000"/>
          <w:kern w:val="0"/>
          <w:szCs w:val="24"/>
          <w:shd w:val="clear" w:color="auto" w:fill="FFFFFF"/>
          <w:lang w:eastAsia="en-AU"/>
          <w14:ligatures w14:val="none"/>
        </w:rPr>
        <w:t>b</w:t>
      </w:r>
      <w:r w:rsidR="005749AB" w:rsidRPr="00810C3E">
        <w:rPr>
          <w:rFonts w:eastAsia="Times New Roman" w:cs="Segoe UI"/>
          <w:color w:val="000000"/>
          <w:kern w:val="0"/>
          <w:szCs w:val="24"/>
          <w:shd w:val="clear" w:color="auto" w:fill="FFFFFF"/>
          <w:lang w:eastAsia="en-AU"/>
          <w14:ligatures w14:val="none"/>
        </w:rPr>
        <w:t xml:space="preserve">raille to access curriculum </w:t>
      </w:r>
      <w:r w:rsidRPr="00810C3E">
        <w:rPr>
          <w:rFonts w:eastAsia="Times New Roman" w:cs="Segoe UI"/>
          <w:color w:val="000000"/>
          <w:kern w:val="0"/>
          <w:szCs w:val="24"/>
          <w:shd w:val="clear" w:color="auto" w:fill="FFFFFF"/>
          <w:lang w:eastAsia="en-AU"/>
          <w14:ligatures w14:val="none"/>
        </w:rPr>
        <w:t xml:space="preserve">as </w:t>
      </w:r>
      <w:r w:rsidR="005749AB" w:rsidRPr="00810C3E">
        <w:rPr>
          <w:rFonts w:eastAsia="Times New Roman" w:cs="Segoe UI"/>
          <w:color w:val="000000"/>
          <w:kern w:val="0"/>
          <w:szCs w:val="24"/>
          <w:shd w:val="clear" w:color="auto" w:fill="FFFFFF"/>
          <w:lang w:eastAsia="en-AU"/>
          <w14:ligatures w14:val="none"/>
        </w:rPr>
        <w:t>a fundamental</w:t>
      </w:r>
      <w:r w:rsidRPr="00810C3E">
        <w:rPr>
          <w:rFonts w:eastAsia="Times New Roman" w:cs="Segoe UI"/>
          <w:color w:val="000000"/>
          <w:kern w:val="0"/>
          <w:szCs w:val="24"/>
          <w:shd w:val="clear" w:color="auto" w:fill="FFFFFF"/>
          <w:lang w:eastAsia="en-AU"/>
          <w14:ligatures w14:val="none"/>
        </w:rPr>
        <w:t xml:space="preserve"> </w:t>
      </w:r>
      <w:r w:rsidR="00D7704B" w:rsidRPr="00810C3E">
        <w:rPr>
          <w:rFonts w:eastAsia="Times New Roman" w:cs="Segoe UI"/>
          <w:color w:val="000000"/>
          <w:kern w:val="0"/>
          <w:szCs w:val="24"/>
          <w:shd w:val="clear" w:color="auto" w:fill="FFFFFF"/>
          <w:lang w:eastAsia="en-AU"/>
          <w14:ligatures w14:val="none"/>
        </w:rPr>
        <w:tab/>
      </w:r>
      <w:r w:rsidR="005749AB" w:rsidRPr="00810C3E">
        <w:rPr>
          <w:rFonts w:eastAsia="Times New Roman" w:cs="Segoe UI"/>
          <w:color w:val="000000"/>
          <w:kern w:val="0"/>
          <w:szCs w:val="24"/>
          <w:shd w:val="clear" w:color="auto" w:fill="FFFFFF"/>
          <w:lang w:eastAsia="en-AU"/>
          <w14:ligatures w14:val="none"/>
        </w:rPr>
        <w:t>right of students w</w:t>
      </w:r>
      <w:r w:rsidRPr="00810C3E">
        <w:rPr>
          <w:rFonts w:eastAsia="Times New Roman" w:cs="Segoe UI"/>
          <w:color w:val="000000"/>
          <w:kern w:val="0"/>
          <w:szCs w:val="24"/>
          <w:shd w:val="clear" w:color="auto" w:fill="FFFFFF"/>
          <w:lang w:eastAsia="en-AU"/>
          <w14:ligatures w14:val="none"/>
        </w:rPr>
        <w:t>ho are blind or have low vision</w:t>
      </w:r>
      <w:r w:rsidR="005749AB" w:rsidRPr="00810C3E">
        <w:rPr>
          <w:rFonts w:eastAsia="Times New Roman" w:cs="Segoe UI"/>
          <w:color w:val="000000"/>
          <w:kern w:val="0"/>
          <w:szCs w:val="24"/>
          <w:shd w:val="clear" w:color="auto" w:fill="FFFFFF"/>
          <w:lang w:eastAsia="en-AU"/>
          <w14:ligatures w14:val="none"/>
        </w:rPr>
        <w:t>.</w:t>
      </w:r>
    </w:p>
    <w:p w14:paraId="6744DFF2" w14:textId="0E225667" w:rsidR="00B25AE4" w:rsidRPr="00810C3E" w:rsidRDefault="00C970BE" w:rsidP="00810C3E">
      <w:pPr>
        <w:pStyle w:val="ListParagraph"/>
        <w:numPr>
          <w:ilvl w:val="1"/>
          <w:numId w:val="6"/>
        </w:numPr>
        <w:spacing w:after="0" w:line="360" w:lineRule="auto"/>
        <w:ind w:left="709" w:hanging="283"/>
        <w:textAlignment w:val="baseline"/>
        <w:rPr>
          <w:rFonts w:cs="Helvetica Neue"/>
          <w:color w:val="000000"/>
          <w:kern w:val="0"/>
          <w:szCs w:val="24"/>
        </w:rPr>
      </w:pPr>
      <w:r w:rsidRPr="00810C3E">
        <w:rPr>
          <w:rFonts w:eastAsia="Times New Roman" w:cs="Segoe UI"/>
          <w:color w:val="000000"/>
          <w:kern w:val="0"/>
          <w:szCs w:val="24"/>
          <w:shd w:val="clear" w:color="auto" w:fill="FFFFFF"/>
          <w:lang w:eastAsia="en-AU"/>
          <w14:ligatures w14:val="none"/>
        </w:rPr>
        <w:t xml:space="preserve">Provision of adequate </w:t>
      </w:r>
      <w:r w:rsidR="005A2C7E" w:rsidRPr="00810C3E">
        <w:rPr>
          <w:rFonts w:eastAsia="Times New Roman" w:cs="Segoe UI"/>
          <w:color w:val="000000"/>
          <w:kern w:val="0"/>
          <w:szCs w:val="24"/>
          <w:shd w:val="clear" w:color="auto" w:fill="FFFFFF"/>
          <w:lang w:eastAsia="en-AU"/>
          <w14:ligatures w14:val="none"/>
        </w:rPr>
        <w:t xml:space="preserve">time for </w:t>
      </w:r>
      <w:r w:rsidRPr="00810C3E">
        <w:rPr>
          <w:rFonts w:eastAsia="Times New Roman" w:cs="Segoe UI"/>
          <w:color w:val="000000"/>
          <w:kern w:val="0"/>
          <w:szCs w:val="24"/>
          <w:shd w:val="clear" w:color="auto" w:fill="FFFFFF"/>
          <w:lang w:eastAsia="en-AU"/>
          <w14:ligatures w14:val="none"/>
        </w:rPr>
        <w:t>Specialist Teachers (Vision</w:t>
      </w:r>
      <w:r w:rsidR="001B33C7" w:rsidRPr="00810C3E">
        <w:rPr>
          <w:rFonts w:eastAsia="Times New Roman" w:cs="Segoe UI"/>
          <w:color w:val="000000"/>
          <w:kern w:val="0"/>
          <w:szCs w:val="24"/>
          <w:shd w:val="clear" w:color="auto" w:fill="FFFFFF"/>
          <w:lang w:eastAsia="en-AU"/>
          <w14:ligatures w14:val="none"/>
        </w:rPr>
        <w:t xml:space="preserve"> Impairment</w:t>
      </w:r>
      <w:r w:rsidRPr="00810C3E">
        <w:rPr>
          <w:rFonts w:eastAsia="Times New Roman" w:cs="Segoe UI"/>
          <w:color w:val="000000"/>
          <w:kern w:val="0"/>
          <w:szCs w:val="24"/>
          <w:shd w:val="clear" w:color="auto" w:fill="FFFFFF"/>
          <w:lang w:eastAsia="en-AU"/>
          <w14:ligatures w14:val="none"/>
        </w:rPr>
        <w:t xml:space="preserve">) </w:t>
      </w:r>
      <w:r w:rsidR="005A2C7E" w:rsidRPr="00810C3E">
        <w:rPr>
          <w:rFonts w:eastAsia="Times New Roman" w:cs="Segoe UI"/>
          <w:color w:val="000000"/>
          <w:kern w:val="0"/>
          <w:szCs w:val="24"/>
          <w:shd w:val="clear" w:color="auto" w:fill="FFFFFF"/>
          <w:lang w:eastAsia="en-AU"/>
          <w14:ligatures w14:val="none"/>
        </w:rPr>
        <w:t>to plan and implement lessons that ensure </w:t>
      </w:r>
      <w:r w:rsidRPr="00810C3E">
        <w:rPr>
          <w:rFonts w:eastAsia="Times New Roman" w:cs="Segoe UI"/>
          <w:color w:val="000000"/>
          <w:kern w:val="0"/>
          <w:szCs w:val="24"/>
          <w:shd w:val="clear" w:color="auto" w:fill="FFFFFF"/>
          <w:lang w:eastAsia="en-AU"/>
          <w14:ligatures w14:val="none"/>
        </w:rPr>
        <w:t xml:space="preserve">equitable </w:t>
      </w:r>
      <w:r w:rsidR="005A2C7E" w:rsidRPr="00810C3E">
        <w:rPr>
          <w:rFonts w:eastAsia="Times New Roman" w:cs="Segoe UI"/>
          <w:color w:val="000000"/>
          <w:kern w:val="0"/>
          <w:szCs w:val="24"/>
          <w:shd w:val="clear" w:color="auto" w:fill="FFFFFF"/>
          <w:lang w:eastAsia="en-AU"/>
          <w14:ligatures w14:val="none"/>
        </w:rPr>
        <w:t>access</w:t>
      </w:r>
      <w:r w:rsidRPr="00810C3E">
        <w:rPr>
          <w:rFonts w:eastAsia="Times New Roman" w:cs="Segoe UI"/>
          <w:color w:val="000000"/>
          <w:kern w:val="0"/>
          <w:szCs w:val="24"/>
          <w:shd w:val="clear" w:color="auto" w:fill="FFFFFF"/>
          <w:lang w:eastAsia="en-AU"/>
          <w14:ligatures w14:val="none"/>
        </w:rPr>
        <w:t xml:space="preserve"> to literacy and numeracy learning though braille</w:t>
      </w:r>
      <w:r w:rsidR="005A2C7E" w:rsidRPr="00810C3E">
        <w:rPr>
          <w:rFonts w:eastAsia="Times New Roman" w:cs="Segoe UI"/>
          <w:color w:val="000000"/>
          <w:kern w:val="0"/>
          <w:szCs w:val="24"/>
          <w:shd w:val="clear" w:color="auto" w:fill="FFFFFF"/>
          <w:lang w:eastAsia="en-AU"/>
          <w14:ligatures w14:val="none"/>
        </w:rPr>
        <w:t>.</w:t>
      </w:r>
      <w:r w:rsidR="009E51E1" w:rsidRPr="00810C3E">
        <w:rPr>
          <w:rFonts w:cs="Helvetica Neue"/>
          <w:color w:val="000000"/>
          <w:kern w:val="0"/>
          <w:szCs w:val="24"/>
        </w:rPr>
        <w:t xml:space="preserve"> </w:t>
      </w:r>
    </w:p>
    <w:p w14:paraId="4B577688" w14:textId="61331476" w:rsidR="009E51E1" w:rsidRPr="00810C3E" w:rsidRDefault="00C970BE" w:rsidP="00810C3E">
      <w:pPr>
        <w:pStyle w:val="ListParagraph"/>
        <w:numPr>
          <w:ilvl w:val="1"/>
          <w:numId w:val="6"/>
        </w:numPr>
        <w:spacing w:after="0" w:line="360" w:lineRule="auto"/>
        <w:ind w:left="709" w:hanging="283"/>
        <w:textAlignment w:val="baseline"/>
        <w:rPr>
          <w:rFonts w:cs="Helvetica Neue"/>
          <w:color w:val="000000"/>
          <w:kern w:val="0"/>
          <w:szCs w:val="24"/>
        </w:rPr>
      </w:pPr>
      <w:r w:rsidRPr="00810C3E">
        <w:rPr>
          <w:rFonts w:cs="Helvetica Neue"/>
          <w:color w:val="000000"/>
          <w:kern w:val="0"/>
          <w:szCs w:val="24"/>
        </w:rPr>
        <w:t>The teaching of</w:t>
      </w:r>
      <w:r w:rsidR="009E51E1" w:rsidRPr="00810C3E">
        <w:rPr>
          <w:rFonts w:cs="Helvetica Neue"/>
          <w:color w:val="000000"/>
          <w:kern w:val="0"/>
          <w:szCs w:val="24"/>
        </w:rPr>
        <w:t xml:space="preserve"> braille and print concurrently</w:t>
      </w:r>
      <w:r w:rsidRPr="00810C3E">
        <w:rPr>
          <w:rFonts w:cs="Helvetica Neue"/>
          <w:color w:val="000000"/>
          <w:kern w:val="0"/>
          <w:szCs w:val="24"/>
        </w:rPr>
        <w:t>, and with the same level of frequency and consistency, for students who are identified as dual media learners.</w:t>
      </w:r>
    </w:p>
    <w:p w14:paraId="051E5D03" w14:textId="77777777" w:rsidR="009E51E1" w:rsidRPr="00810C3E" w:rsidRDefault="009E51E1" w:rsidP="00810C3E">
      <w:pPr>
        <w:spacing w:after="0" w:line="360" w:lineRule="auto"/>
        <w:ind w:left="1080"/>
        <w:textAlignment w:val="baseline"/>
        <w:rPr>
          <w:rFonts w:eastAsia="Times New Roman" w:cs="Segoe UI"/>
          <w:kern w:val="0"/>
          <w:szCs w:val="24"/>
          <w:lang w:eastAsia="en-AU"/>
          <w14:ligatures w14:val="none"/>
        </w:rPr>
      </w:pPr>
    </w:p>
    <w:p w14:paraId="15A907EC" w14:textId="77777777" w:rsidR="005A2C7E" w:rsidRPr="00810C3E" w:rsidRDefault="005A2C7E" w:rsidP="00810C3E">
      <w:pPr>
        <w:pStyle w:val="Heading2"/>
        <w:spacing w:line="360" w:lineRule="auto"/>
      </w:pPr>
      <w:r w:rsidRPr="00810C3E">
        <w:t>Staffing </w:t>
      </w:r>
    </w:p>
    <w:p w14:paraId="5492C55D" w14:textId="77777777" w:rsidR="007F2A21" w:rsidRPr="00810C3E" w:rsidRDefault="005A2C7E" w:rsidP="00810C3E">
      <w:pPr>
        <w:numPr>
          <w:ilvl w:val="0"/>
          <w:numId w:val="7"/>
        </w:numPr>
        <w:spacing w:after="0" w:line="360" w:lineRule="auto"/>
        <w:ind w:left="426" w:firstLine="0"/>
        <w:textAlignment w:val="baseline"/>
        <w:rPr>
          <w:rFonts w:eastAsia="Times New Roman" w:cs="Segoe UI"/>
          <w:kern w:val="0"/>
          <w:szCs w:val="24"/>
          <w:lang w:eastAsia="en-AU"/>
          <w14:ligatures w14:val="none"/>
        </w:rPr>
      </w:pPr>
      <w:r w:rsidRPr="00810C3E">
        <w:rPr>
          <w:rFonts w:eastAsia="Times New Roman" w:cs="Segoe UI"/>
          <w:color w:val="000000"/>
          <w:kern w:val="0"/>
          <w:szCs w:val="24"/>
          <w:shd w:val="clear" w:color="auto" w:fill="FFFFFF"/>
          <w:lang w:eastAsia="en-AU"/>
          <w14:ligatures w14:val="none"/>
        </w:rPr>
        <w:t xml:space="preserve">Recruitment of qualified </w:t>
      </w:r>
      <w:r w:rsidR="00C970BE" w:rsidRPr="00810C3E">
        <w:rPr>
          <w:rFonts w:eastAsia="Times New Roman" w:cs="Segoe UI"/>
          <w:color w:val="000000"/>
          <w:kern w:val="0"/>
          <w:szCs w:val="24"/>
          <w:shd w:val="clear" w:color="auto" w:fill="FFFFFF"/>
          <w:lang w:eastAsia="en-AU"/>
          <w14:ligatures w14:val="none"/>
        </w:rPr>
        <w:t>Specialist Teachers (Vision</w:t>
      </w:r>
      <w:r w:rsidR="001B33C7" w:rsidRPr="00810C3E">
        <w:rPr>
          <w:rFonts w:eastAsia="Times New Roman" w:cs="Segoe UI"/>
          <w:color w:val="000000"/>
          <w:kern w:val="0"/>
          <w:szCs w:val="24"/>
          <w:shd w:val="clear" w:color="auto" w:fill="FFFFFF"/>
          <w:lang w:eastAsia="en-AU"/>
          <w14:ligatures w14:val="none"/>
        </w:rPr>
        <w:t xml:space="preserve"> Impairment</w:t>
      </w:r>
      <w:r w:rsidR="00C970BE" w:rsidRPr="00810C3E">
        <w:rPr>
          <w:rFonts w:eastAsia="Times New Roman" w:cs="Segoe UI"/>
          <w:color w:val="000000"/>
          <w:kern w:val="0"/>
          <w:szCs w:val="24"/>
          <w:shd w:val="clear" w:color="auto" w:fill="FFFFFF"/>
          <w:lang w:eastAsia="en-AU"/>
          <w14:ligatures w14:val="none"/>
        </w:rPr>
        <w:t xml:space="preserve">) </w:t>
      </w:r>
      <w:r w:rsidR="00D7704B" w:rsidRPr="00810C3E">
        <w:rPr>
          <w:rFonts w:eastAsia="Times New Roman" w:cs="Segoe UI"/>
          <w:color w:val="000000"/>
          <w:kern w:val="0"/>
          <w:szCs w:val="24"/>
          <w:shd w:val="clear" w:color="auto" w:fill="FFFFFF"/>
          <w:lang w:eastAsia="en-AU"/>
          <w14:ligatures w14:val="none"/>
        </w:rPr>
        <w:tab/>
      </w:r>
      <w:r w:rsidRPr="00810C3E">
        <w:rPr>
          <w:rFonts w:eastAsia="Times New Roman" w:cs="Segoe UI"/>
          <w:color w:val="000000"/>
          <w:kern w:val="0"/>
          <w:szCs w:val="24"/>
          <w:shd w:val="clear" w:color="auto" w:fill="FFFFFF"/>
          <w:lang w:eastAsia="en-AU"/>
          <w14:ligatures w14:val="none"/>
        </w:rPr>
        <w:t xml:space="preserve">by </w:t>
      </w:r>
    </w:p>
    <w:p w14:paraId="4BA02EC6" w14:textId="77777777" w:rsidR="007F2A21" w:rsidRPr="00810C3E" w:rsidRDefault="007F2A21" w:rsidP="00810C3E">
      <w:pPr>
        <w:spacing w:after="0" w:line="360" w:lineRule="auto"/>
        <w:ind w:left="426"/>
        <w:textAlignment w:val="baseline"/>
        <w:rPr>
          <w:rFonts w:eastAsia="Times New Roman" w:cs="Segoe UI"/>
          <w:color w:val="000000"/>
          <w:kern w:val="0"/>
          <w:szCs w:val="24"/>
          <w:shd w:val="clear" w:color="auto" w:fill="FFFFFF"/>
          <w:lang w:eastAsia="en-AU"/>
          <w14:ligatures w14:val="none"/>
        </w:rPr>
      </w:pPr>
      <w:r w:rsidRPr="00810C3E">
        <w:rPr>
          <w:rFonts w:eastAsia="Times New Roman" w:cs="Segoe UI"/>
          <w:color w:val="000000"/>
          <w:kern w:val="0"/>
          <w:szCs w:val="24"/>
          <w:shd w:val="clear" w:color="auto" w:fill="FFFFFF"/>
          <w:lang w:eastAsia="en-AU"/>
          <w14:ligatures w14:val="none"/>
        </w:rPr>
        <w:t xml:space="preserve">    </w:t>
      </w:r>
      <w:r w:rsidR="005A2C7E" w:rsidRPr="00810C3E">
        <w:rPr>
          <w:rFonts w:eastAsia="Times New Roman" w:cs="Segoe UI"/>
          <w:color w:val="000000"/>
          <w:kern w:val="0"/>
          <w:szCs w:val="24"/>
          <w:shd w:val="clear" w:color="auto" w:fill="FFFFFF"/>
          <w:lang w:eastAsia="en-AU"/>
          <w14:ligatures w14:val="none"/>
        </w:rPr>
        <w:t xml:space="preserve">strengthening their opportunities to undertake specialised </w:t>
      </w:r>
      <w:r w:rsidR="00D7704B" w:rsidRPr="00810C3E">
        <w:rPr>
          <w:rFonts w:eastAsia="Times New Roman" w:cs="Segoe UI"/>
          <w:color w:val="000000"/>
          <w:kern w:val="0"/>
          <w:szCs w:val="24"/>
          <w:shd w:val="clear" w:color="auto" w:fill="FFFFFF"/>
          <w:lang w:eastAsia="en-AU"/>
          <w14:ligatures w14:val="none"/>
        </w:rPr>
        <w:tab/>
      </w:r>
      <w:r w:rsidR="005A2C7E" w:rsidRPr="00810C3E">
        <w:rPr>
          <w:rFonts w:eastAsia="Times New Roman" w:cs="Segoe UI"/>
          <w:color w:val="000000"/>
          <w:kern w:val="0"/>
          <w:szCs w:val="24"/>
          <w:shd w:val="clear" w:color="auto" w:fill="FFFFFF"/>
          <w:lang w:eastAsia="en-AU"/>
          <w14:ligatures w14:val="none"/>
        </w:rPr>
        <w:t xml:space="preserve">qualifications </w:t>
      </w:r>
      <w:r w:rsidR="00E9525D" w:rsidRPr="00810C3E">
        <w:rPr>
          <w:rFonts w:eastAsia="Times New Roman" w:cs="Segoe UI"/>
          <w:color w:val="000000"/>
          <w:kern w:val="0"/>
          <w:szCs w:val="24"/>
          <w:shd w:val="clear" w:color="auto" w:fill="FFFFFF"/>
          <w:lang w:eastAsia="en-AU"/>
          <w14:ligatures w14:val="none"/>
        </w:rPr>
        <w:t xml:space="preserve">that incorporate </w:t>
      </w:r>
      <w:r w:rsidR="00C970BE" w:rsidRPr="00810C3E">
        <w:rPr>
          <w:rFonts w:eastAsia="Times New Roman" w:cs="Segoe UI"/>
          <w:color w:val="000000"/>
          <w:kern w:val="0"/>
          <w:szCs w:val="24"/>
          <w:shd w:val="clear" w:color="auto" w:fill="FFFFFF"/>
          <w:lang w:eastAsia="en-AU"/>
          <w14:ligatures w14:val="none"/>
        </w:rPr>
        <w:t>b</w:t>
      </w:r>
      <w:r w:rsidR="00E9525D" w:rsidRPr="00810C3E">
        <w:rPr>
          <w:rFonts w:eastAsia="Times New Roman" w:cs="Segoe UI"/>
          <w:color w:val="000000"/>
          <w:kern w:val="0"/>
          <w:szCs w:val="24"/>
          <w:shd w:val="clear" w:color="auto" w:fill="FFFFFF"/>
          <w:lang w:eastAsia="en-AU"/>
          <w14:ligatures w14:val="none"/>
        </w:rPr>
        <w:t xml:space="preserve">raille literacy </w:t>
      </w:r>
      <w:r w:rsidR="005A2C7E" w:rsidRPr="00810C3E">
        <w:rPr>
          <w:rFonts w:eastAsia="Times New Roman" w:cs="Segoe UI"/>
          <w:color w:val="000000"/>
          <w:kern w:val="0"/>
          <w:szCs w:val="24"/>
          <w:shd w:val="clear" w:color="auto" w:fill="FFFFFF"/>
          <w:lang w:eastAsia="en-AU"/>
          <w14:ligatures w14:val="none"/>
        </w:rPr>
        <w:t xml:space="preserve">within their </w:t>
      </w:r>
      <w:r w:rsidR="00D7704B" w:rsidRPr="00810C3E">
        <w:rPr>
          <w:rFonts w:eastAsia="Times New Roman" w:cs="Segoe UI"/>
          <w:color w:val="000000"/>
          <w:kern w:val="0"/>
          <w:szCs w:val="24"/>
          <w:shd w:val="clear" w:color="auto" w:fill="FFFFFF"/>
          <w:lang w:eastAsia="en-AU"/>
          <w14:ligatures w14:val="none"/>
        </w:rPr>
        <w:tab/>
      </w:r>
      <w:r w:rsidR="005A2C7E" w:rsidRPr="00810C3E">
        <w:rPr>
          <w:rFonts w:eastAsia="Times New Roman" w:cs="Segoe UI"/>
          <w:color w:val="000000"/>
          <w:kern w:val="0"/>
          <w:szCs w:val="24"/>
          <w:shd w:val="clear" w:color="auto" w:fill="FFFFFF"/>
          <w:lang w:eastAsia="en-AU"/>
          <w14:ligatures w14:val="none"/>
        </w:rPr>
        <w:t xml:space="preserve">university </w:t>
      </w:r>
    </w:p>
    <w:p w14:paraId="25905728" w14:textId="7E9C0642" w:rsidR="005A2C7E" w:rsidRPr="00810C3E" w:rsidRDefault="007F2A21" w:rsidP="00810C3E">
      <w:pPr>
        <w:spacing w:after="0" w:line="360" w:lineRule="auto"/>
        <w:ind w:left="426"/>
        <w:textAlignment w:val="baseline"/>
        <w:rPr>
          <w:rFonts w:eastAsia="Times New Roman" w:cs="Segoe UI"/>
          <w:kern w:val="0"/>
          <w:szCs w:val="24"/>
          <w:lang w:eastAsia="en-AU"/>
          <w14:ligatures w14:val="none"/>
        </w:rPr>
      </w:pPr>
      <w:r w:rsidRPr="00810C3E">
        <w:rPr>
          <w:rFonts w:eastAsia="Times New Roman" w:cs="Segoe UI"/>
          <w:color w:val="000000"/>
          <w:kern w:val="0"/>
          <w:szCs w:val="24"/>
          <w:shd w:val="clear" w:color="auto" w:fill="FFFFFF"/>
          <w:lang w:eastAsia="en-AU"/>
          <w14:ligatures w14:val="none"/>
        </w:rPr>
        <w:t xml:space="preserve">   </w:t>
      </w:r>
      <w:r w:rsidR="005A2C7E" w:rsidRPr="00810C3E">
        <w:rPr>
          <w:rFonts w:eastAsia="Times New Roman" w:cs="Segoe UI"/>
          <w:color w:val="000000"/>
          <w:kern w:val="0"/>
          <w:szCs w:val="24"/>
          <w:shd w:val="clear" w:color="auto" w:fill="FFFFFF"/>
          <w:lang w:eastAsia="en-AU"/>
          <w14:ligatures w14:val="none"/>
        </w:rPr>
        <w:t>studies.</w:t>
      </w:r>
      <w:r w:rsidR="005A2C7E" w:rsidRPr="00810C3E">
        <w:rPr>
          <w:rFonts w:eastAsia="Times New Roman" w:cs="Segoe UI"/>
          <w:color w:val="000000"/>
          <w:kern w:val="0"/>
          <w:szCs w:val="24"/>
          <w:lang w:eastAsia="en-AU"/>
          <w14:ligatures w14:val="none"/>
        </w:rPr>
        <w:t> </w:t>
      </w:r>
    </w:p>
    <w:p w14:paraId="2D6C71CC" w14:textId="2CC2A429" w:rsidR="005A2C7E" w:rsidRPr="00810C3E" w:rsidRDefault="005A2C7E" w:rsidP="00810C3E">
      <w:pPr>
        <w:numPr>
          <w:ilvl w:val="0"/>
          <w:numId w:val="7"/>
        </w:numPr>
        <w:spacing w:after="0" w:line="360" w:lineRule="auto"/>
        <w:ind w:left="426" w:firstLine="0"/>
        <w:textAlignment w:val="baseline"/>
        <w:rPr>
          <w:rFonts w:eastAsia="Times New Roman" w:cs="Segoe UI"/>
          <w:kern w:val="0"/>
          <w:szCs w:val="24"/>
          <w:lang w:eastAsia="en-AU"/>
          <w14:ligatures w14:val="none"/>
        </w:rPr>
      </w:pPr>
      <w:r w:rsidRPr="00810C3E">
        <w:rPr>
          <w:rFonts w:eastAsia="Times New Roman" w:cs="Segoe UI"/>
          <w:color w:val="000000"/>
          <w:kern w:val="0"/>
          <w:szCs w:val="24"/>
          <w:shd w:val="clear" w:color="auto" w:fill="FFFFFF"/>
          <w:lang w:eastAsia="en-AU"/>
          <w14:ligatures w14:val="none"/>
        </w:rPr>
        <w:t xml:space="preserve">Retain qualified </w:t>
      </w:r>
      <w:r w:rsidR="00C970BE" w:rsidRPr="00810C3E">
        <w:rPr>
          <w:rFonts w:eastAsia="Times New Roman" w:cs="Segoe UI"/>
          <w:color w:val="000000"/>
          <w:kern w:val="0"/>
          <w:szCs w:val="24"/>
          <w:shd w:val="clear" w:color="auto" w:fill="FFFFFF"/>
          <w:lang w:eastAsia="en-AU"/>
          <w14:ligatures w14:val="none"/>
        </w:rPr>
        <w:t>Specialist Teachers (Vision</w:t>
      </w:r>
      <w:r w:rsidR="00D7704B" w:rsidRPr="00810C3E">
        <w:rPr>
          <w:rFonts w:eastAsia="Times New Roman" w:cs="Segoe UI"/>
          <w:color w:val="000000"/>
          <w:kern w:val="0"/>
          <w:szCs w:val="24"/>
          <w:shd w:val="clear" w:color="auto" w:fill="FFFFFF"/>
          <w:lang w:eastAsia="en-AU"/>
          <w14:ligatures w14:val="none"/>
        </w:rPr>
        <w:t xml:space="preserve"> Impairment</w:t>
      </w:r>
      <w:r w:rsidR="00C970BE" w:rsidRPr="00810C3E">
        <w:rPr>
          <w:rFonts w:eastAsia="Times New Roman" w:cs="Segoe UI"/>
          <w:color w:val="000000"/>
          <w:kern w:val="0"/>
          <w:szCs w:val="24"/>
          <w:shd w:val="clear" w:color="auto" w:fill="FFFFFF"/>
          <w:lang w:eastAsia="en-AU"/>
          <w14:ligatures w14:val="none"/>
        </w:rPr>
        <w:t xml:space="preserve">) </w:t>
      </w:r>
      <w:r w:rsidRPr="00810C3E">
        <w:rPr>
          <w:rFonts w:eastAsia="Times New Roman" w:cs="Segoe UI"/>
          <w:color w:val="000000"/>
          <w:kern w:val="0"/>
          <w:szCs w:val="24"/>
          <w:shd w:val="clear" w:color="auto" w:fill="FFFFFF"/>
          <w:lang w:eastAsia="en-AU"/>
          <w14:ligatures w14:val="none"/>
        </w:rPr>
        <w:t xml:space="preserve">through </w:t>
      </w:r>
      <w:r w:rsidR="00D7704B" w:rsidRPr="00810C3E">
        <w:rPr>
          <w:rFonts w:eastAsia="Times New Roman" w:cs="Segoe UI"/>
          <w:color w:val="000000"/>
          <w:kern w:val="0"/>
          <w:szCs w:val="24"/>
          <w:shd w:val="clear" w:color="auto" w:fill="FFFFFF"/>
          <w:lang w:eastAsia="en-AU"/>
          <w14:ligatures w14:val="none"/>
        </w:rPr>
        <w:tab/>
      </w:r>
      <w:r w:rsidRPr="00810C3E">
        <w:rPr>
          <w:rFonts w:eastAsia="Times New Roman" w:cs="Segoe UI"/>
          <w:color w:val="000000"/>
          <w:kern w:val="0"/>
          <w:szCs w:val="24"/>
          <w:shd w:val="clear" w:color="auto" w:fill="FFFFFF"/>
          <w:lang w:eastAsia="en-AU"/>
          <w14:ligatures w14:val="none"/>
        </w:rPr>
        <w:t xml:space="preserve">incentives </w:t>
      </w:r>
      <w:r w:rsidR="00D7704B" w:rsidRPr="00810C3E">
        <w:rPr>
          <w:rFonts w:eastAsia="Times New Roman" w:cs="Segoe UI"/>
          <w:color w:val="000000"/>
          <w:kern w:val="0"/>
          <w:szCs w:val="24"/>
          <w:shd w:val="clear" w:color="auto" w:fill="FFFFFF"/>
          <w:lang w:eastAsia="en-AU"/>
          <w14:ligatures w14:val="none"/>
        </w:rPr>
        <w:tab/>
      </w:r>
      <w:r w:rsidRPr="00810C3E">
        <w:rPr>
          <w:rFonts w:eastAsia="Times New Roman" w:cs="Segoe UI"/>
          <w:color w:val="000000"/>
          <w:kern w:val="0"/>
          <w:szCs w:val="24"/>
          <w:shd w:val="clear" w:color="auto" w:fill="FFFFFF"/>
          <w:lang w:eastAsia="en-AU"/>
          <w14:ligatures w14:val="none"/>
        </w:rPr>
        <w:t xml:space="preserve">and ongoing opportunities to develop and collaborate </w:t>
      </w:r>
      <w:r w:rsidR="00D7704B" w:rsidRPr="00810C3E">
        <w:rPr>
          <w:rFonts w:eastAsia="Times New Roman" w:cs="Segoe UI"/>
          <w:color w:val="000000"/>
          <w:kern w:val="0"/>
          <w:szCs w:val="24"/>
          <w:shd w:val="clear" w:color="auto" w:fill="FFFFFF"/>
          <w:lang w:eastAsia="en-AU"/>
          <w14:ligatures w14:val="none"/>
        </w:rPr>
        <w:tab/>
      </w:r>
      <w:r w:rsidRPr="00810C3E">
        <w:rPr>
          <w:rFonts w:eastAsia="Times New Roman" w:cs="Segoe UI"/>
          <w:color w:val="000000"/>
          <w:kern w:val="0"/>
          <w:szCs w:val="24"/>
          <w:shd w:val="clear" w:color="auto" w:fill="FFFFFF"/>
          <w:lang w:eastAsia="en-AU"/>
          <w14:ligatures w14:val="none"/>
        </w:rPr>
        <w:t>professionally.</w:t>
      </w:r>
      <w:r w:rsidRPr="00810C3E">
        <w:rPr>
          <w:rFonts w:eastAsia="Times New Roman" w:cs="Segoe UI"/>
          <w:color w:val="000000"/>
          <w:kern w:val="0"/>
          <w:szCs w:val="24"/>
          <w:lang w:eastAsia="en-AU"/>
          <w14:ligatures w14:val="none"/>
        </w:rPr>
        <w:t> </w:t>
      </w:r>
    </w:p>
    <w:p w14:paraId="73514050" w14:textId="77777777" w:rsidR="001702FE" w:rsidRPr="00810C3E" w:rsidRDefault="001702FE" w:rsidP="00810C3E">
      <w:pPr>
        <w:spacing w:after="0" w:line="360" w:lineRule="auto"/>
        <w:ind w:left="426"/>
        <w:textAlignment w:val="baseline"/>
        <w:rPr>
          <w:rFonts w:eastAsia="Times New Roman" w:cs="Segoe UI"/>
          <w:kern w:val="0"/>
          <w:szCs w:val="24"/>
          <w:lang w:eastAsia="en-AU"/>
          <w14:ligatures w14:val="none"/>
        </w:rPr>
      </w:pPr>
    </w:p>
    <w:p w14:paraId="744295C2" w14:textId="77777777" w:rsidR="005A2C7E" w:rsidRPr="00810C3E" w:rsidRDefault="005A2C7E" w:rsidP="00810C3E">
      <w:pPr>
        <w:pStyle w:val="Heading2"/>
        <w:spacing w:line="360" w:lineRule="auto"/>
      </w:pPr>
      <w:r w:rsidRPr="00810C3E">
        <w:t>Resourcing  </w:t>
      </w:r>
    </w:p>
    <w:p w14:paraId="39782033" w14:textId="43C9E353" w:rsidR="005A2C7E" w:rsidRPr="00810C3E" w:rsidRDefault="005A2C7E" w:rsidP="00810C3E">
      <w:pPr>
        <w:numPr>
          <w:ilvl w:val="0"/>
          <w:numId w:val="8"/>
        </w:numPr>
        <w:spacing w:after="0" w:line="360" w:lineRule="auto"/>
        <w:ind w:left="709" w:hanging="283"/>
        <w:textAlignment w:val="baseline"/>
        <w:rPr>
          <w:rFonts w:eastAsia="Times New Roman" w:cs="Segoe UI"/>
          <w:kern w:val="0"/>
          <w:szCs w:val="24"/>
          <w:lang w:eastAsia="en-AU"/>
          <w14:ligatures w14:val="none"/>
        </w:rPr>
      </w:pPr>
      <w:r w:rsidRPr="00810C3E">
        <w:rPr>
          <w:rFonts w:eastAsia="Times New Roman" w:cs="Segoe UI"/>
          <w:color w:val="000000"/>
          <w:kern w:val="0"/>
          <w:szCs w:val="24"/>
          <w:shd w:val="clear" w:color="auto" w:fill="FFFFFF"/>
          <w:lang w:eastAsia="en-AU"/>
          <w14:ligatures w14:val="none"/>
        </w:rPr>
        <w:t xml:space="preserve">The availability of funds to provide, maintain, update, and </w:t>
      </w:r>
      <w:r w:rsidR="00D7704B" w:rsidRPr="00810C3E">
        <w:rPr>
          <w:rFonts w:eastAsia="Times New Roman" w:cs="Segoe UI"/>
          <w:color w:val="000000"/>
          <w:kern w:val="0"/>
          <w:szCs w:val="24"/>
          <w:shd w:val="clear" w:color="auto" w:fill="FFFFFF"/>
          <w:lang w:eastAsia="en-AU"/>
          <w14:ligatures w14:val="none"/>
        </w:rPr>
        <w:tab/>
      </w:r>
      <w:r w:rsidRPr="00810C3E">
        <w:rPr>
          <w:rFonts w:eastAsia="Times New Roman" w:cs="Segoe UI"/>
          <w:color w:val="000000"/>
          <w:kern w:val="0"/>
          <w:szCs w:val="24"/>
          <w:shd w:val="clear" w:color="auto" w:fill="FFFFFF"/>
          <w:lang w:eastAsia="en-AU"/>
          <w14:ligatures w14:val="none"/>
        </w:rPr>
        <w:t xml:space="preserve">upgrade </w:t>
      </w:r>
      <w:r w:rsidR="00C970BE" w:rsidRPr="00810C3E">
        <w:rPr>
          <w:rFonts w:eastAsia="Times New Roman" w:cs="Segoe UI"/>
          <w:color w:val="000000"/>
          <w:kern w:val="0"/>
          <w:szCs w:val="24"/>
          <w:shd w:val="clear" w:color="auto" w:fill="FFFFFF"/>
          <w:lang w:eastAsia="en-AU"/>
          <w14:ligatures w14:val="none"/>
        </w:rPr>
        <w:t xml:space="preserve">braille </w:t>
      </w:r>
      <w:r w:rsidRPr="00810C3E">
        <w:rPr>
          <w:rFonts w:eastAsia="Times New Roman" w:cs="Segoe UI"/>
          <w:color w:val="000000"/>
          <w:kern w:val="0"/>
          <w:szCs w:val="24"/>
          <w:shd w:val="clear" w:color="auto" w:fill="FFFFFF"/>
          <w:lang w:eastAsia="en-AU"/>
          <w14:ligatures w14:val="none"/>
        </w:rPr>
        <w:t>technologies.</w:t>
      </w:r>
      <w:r w:rsidRPr="00810C3E">
        <w:rPr>
          <w:rFonts w:eastAsia="Times New Roman" w:cs="Segoe UI"/>
          <w:color w:val="000000"/>
          <w:kern w:val="0"/>
          <w:szCs w:val="24"/>
          <w:lang w:eastAsia="en-AU"/>
          <w14:ligatures w14:val="none"/>
        </w:rPr>
        <w:t> </w:t>
      </w:r>
    </w:p>
    <w:p w14:paraId="50780D95" w14:textId="3322BB86" w:rsidR="005A2C7E" w:rsidRPr="00810C3E" w:rsidRDefault="001B33C7" w:rsidP="00810C3E">
      <w:pPr>
        <w:numPr>
          <w:ilvl w:val="0"/>
          <w:numId w:val="8"/>
        </w:numPr>
        <w:spacing w:after="0" w:line="360" w:lineRule="auto"/>
        <w:ind w:left="709" w:hanging="283"/>
        <w:textAlignment w:val="baseline"/>
        <w:rPr>
          <w:rFonts w:eastAsia="Times New Roman" w:cs="Segoe UI"/>
          <w:kern w:val="0"/>
          <w:szCs w:val="24"/>
          <w:lang w:eastAsia="en-AU"/>
          <w14:ligatures w14:val="none"/>
        </w:rPr>
      </w:pPr>
      <w:r w:rsidRPr="00810C3E">
        <w:rPr>
          <w:rFonts w:eastAsia="Times New Roman" w:cs="Segoe UI"/>
          <w:color w:val="000000"/>
          <w:kern w:val="0"/>
          <w:szCs w:val="24"/>
          <w:shd w:val="clear" w:color="auto" w:fill="FFFFFF"/>
          <w:lang w:eastAsia="en-AU"/>
          <w14:ligatures w14:val="none"/>
        </w:rPr>
        <w:lastRenderedPageBreak/>
        <w:t>Adequate resourcing</w:t>
      </w:r>
      <w:r w:rsidR="005A2C7E" w:rsidRPr="00810C3E">
        <w:rPr>
          <w:rFonts w:eastAsia="Times New Roman" w:cs="Segoe UI"/>
          <w:color w:val="000000"/>
          <w:kern w:val="0"/>
          <w:szCs w:val="24"/>
          <w:shd w:val="clear" w:color="auto" w:fill="FFFFFF"/>
          <w:lang w:eastAsia="en-AU"/>
          <w14:ligatures w14:val="none"/>
        </w:rPr>
        <w:t xml:space="preserve"> for regional and remote students, staff and </w:t>
      </w:r>
      <w:r w:rsidR="00D7704B" w:rsidRPr="00810C3E">
        <w:rPr>
          <w:rFonts w:eastAsia="Times New Roman" w:cs="Segoe UI"/>
          <w:color w:val="000000"/>
          <w:kern w:val="0"/>
          <w:szCs w:val="24"/>
          <w:shd w:val="clear" w:color="auto" w:fill="FFFFFF"/>
          <w:lang w:eastAsia="en-AU"/>
          <w14:ligatures w14:val="none"/>
        </w:rPr>
        <w:tab/>
      </w:r>
      <w:r w:rsidR="005A2C7E" w:rsidRPr="00810C3E">
        <w:rPr>
          <w:rFonts w:eastAsia="Times New Roman" w:cs="Segoe UI"/>
          <w:color w:val="000000"/>
          <w:kern w:val="0"/>
          <w:szCs w:val="24"/>
          <w:shd w:val="clear" w:color="auto" w:fill="FFFFFF"/>
          <w:lang w:eastAsia="en-AU"/>
          <w14:ligatures w14:val="none"/>
        </w:rPr>
        <w:t>families</w:t>
      </w:r>
      <w:r w:rsidRPr="00810C3E">
        <w:rPr>
          <w:rFonts w:eastAsia="Times New Roman" w:cs="Segoe UI"/>
          <w:color w:val="000000"/>
          <w:kern w:val="0"/>
          <w:szCs w:val="24"/>
          <w:lang w:eastAsia="en-AU"/>
          <w14:ligatures w14:val="none"/>
        </w:rPr>
        <w:t xml:space="preserve"> to ensure equitable access to learning.</w:t>
      </w:r>
    </w:p>
    <w:p w14:paraId="28ADEACB" w14:textId="26076849" w:rsidR="005A2C7E" w:rsidRPr="00810C3E" w:rsidRDefault="00A66E65" w:rsidP="00810C3E">
      <w:pPr>
        <w:numPr>
          <w:ilvl w:val="0"/>
          <w:numId w:val="8"/>
        </w:numPr>
        <w:spacing w:after="0" w:line="360" w:lineRule="auto"/>
        <w:ind w:left="709" w:hanging="283"/>
        <w:textAlignment w:val="baseline"/>
        <w:rPr>
          <w:rFonts w:eastAsia="Times New Roman" w:cs="Segoe UI"/>
          <w:kern w:val="0"/>
          <w:szCs w:val="24"/>
          <w:lang w:eastAsia="en-AU"/>
          <w14:ligatures w14:val="none"/>
        </w:rPr>
      </w:pPr>
      <w:r w:rsidRPr="00810C3E">
        <w:rPr>
          <w:rFonts w:eastAsia="Times New Roman" w:cs="Segoe UI"/>
          <w:color w:val="000000"/>
          <w:kern w:val="0"/>
          <w:szCs w:val="24"/>
          <w:shd w:val="clear" w:color="auto" w:fill="FFFFFF"/>
          <w:lang w:eastAsia="en-AU"/>
          <w14:ligatures w14:val="none"/>
        </w:rPr>
        <w:t xml:space="preserve">Supports for the provision of professional learning in braille </w:t>
      </w:r>
      <w:r w:rsidR="00D7704B" w:rsidRPr="00810C3E">
        <w:rPr>
          <w:rFonts w:eastAsia="Times New Roman" w:cs="Segoe UI"/>
          <w:color w:val="000000"/>
          <w:kern w:val="0"/>
          <w:szCs w:val="24"/>
          <w:shd w:val="clear" w:color="auto" w:fill="FFFFFF"/>
          <w:lang w:eastAsia="en-AU"/>
          <w14:ligatures w14:val="none"/>
        </w:rPr>
        <w:tab/>
      </w:r>
      <w:r w:rsidRPr="00810C3E">
        <w:rPr>
          <w:rFonts w:eastAsia="Times New Roman" w:cs="Segoe UI"/>
          <w:color w:val="000000"/>
          <w:kern w:val="0"/>
          <w:szCs w:val="24"/>
          <w:shd w:val="clear" w:color="auto" w:fill="FFFFFF"/>
          <w:lang w:eastAsia="en-AU"/>
          <w14:ligatures w14:val="none"/>
        </w:rPr>
        <w:t xml:space="preserve">literacy for the classroom teachers and educational support staff </w:t>
      </w:r>
      <w:r w:rsidR="00D7704B" w:rsidRPr="00810C3E">
        <w:rPr>
          <w:rFonts w:eastAsia="Times New Roman" w:cs="Segoe UI"/>
          <w:color w:val="000000"/>
          <w:kern w:val="0"/>
          <w:szCs w:val="24"/>
          <w:shd w:val="clear" w:color="auto" w:fill="FFFFFF"/>
          <w:lang w:eastAsia="en-AU"/>
          <w14:ligatures w14:val="none"/>
        </w:rPr>
        <w:tab/>
      </w:r>
      <w:r w:rsidRPr="00810C3E">
        <w:rPr>
          <w:rFonts w:eastAsia="Times New Roman" w:cs="Segoe UI"/>
          <w:color w:val="000000"/>
          <w:kern w:val="0"/>
          <w:szCs w:val="24"/>
          <w:shd w:val="clear" w:color="auto" w:fill="FFFFFF"/>
          <w:lang w:eastAsia="en-AU"/>
          <w14:ligatures w14:val="none"/>
        </w:rPr>
        <w:t>of students who are learning braille.</w:t>
      </w:r>
    </w:p>
    <w:p w14:paraId="3315232C" w14:textId="663CA620" w:rsidR="005A2C7E" w:rsidRPr="00810C3E" w:rsidRDefault="005A2C7E" w:rsidP="00810C3E">
      <w:pPr>
        <w:numPr>
          <w:ilvl w:val="0"/>
          <w:numId w:val="8"/>
        </w:numPr>
        <w:spacing w:after="0" w:line="360" w:lineRule="auto"/>
        <w:ind w:left="709" w:hanging="283"/>
        <w:textAlignment w:val="baseline"/>
        <w:rPr>
          <w:rFonts w:eastAsia="Times New Roman" w:cs="Segoe UI"/>
          <w:kern w:val="0"/>
          <w:szCs w:val="24"/>
          <w:lang w:eastAsia="en-AU"/>
          <w14:ligatures w14:val="none"/>
        </w:rPr>
      </w:pPr>
      <w:r w:rsidRPr="00810C3E">
        <w:rPr>
          <w:rFonts w:eastAsia="Times New Roman" w:cs="Segoe UI"/>
          <w:color w:val="000000"/>
          <w:kern w:val="0"/>
          <w:szCs w:val="24"/>
          <w:shd w:val="clear" w:color="auto" w:fill="FFFFFF"/>
          <w:lang w:eastAsia="en-AU"/>
          <w14:ligatures w14:val="none"/>
        </w:rPr>
        <w:t xml:space="preserve">Funding to </w:t>
      </w:r>
      <w:r w:rsidR="00C970BE" w:rsidRPr="00810C3E">
        <w:rPr>
          <w:rFonts w:eastAsia="Times New Roman" w:cs="Segoe UI"/>
          <w:color w:val="000000"/>
          <w:kern w:val="0"/>
          <w:szCs w:val="24"/>
          <w:shd w:val="clear" w:color="auto" w:fill="FFFFFF"/>
          <w:lang w:eastAsia="en-AU"/>
          <w14:ligatures w14:val="none"/>
        </w:rPr>
        <w:t xml:space="preserve">support </w:t>
      </w:r>
      <w:r w:rsidRPr="00810C3E">
        <w:rPr>
          <w:rFonts w:eastAsia="Times New Roman" w:cs="Segoe UI"/>
          <w:color w:val="000000"/>
          <w:kern w:val="0"/>
          <w:szCs w:val="24"/>
          <w:shd w:val="clear" w:color="auto" w:fill="FFFFFF"/>
          <w:lang w:eastAsia="en-AU"/>
          <w14:ligatures w14:val="none"/>
        </w:rPr>
        <w:t>learning environments</w:t>
      </w:r>
      <w:r w:rsidR="00C970BE" w:rsidRPr="00810C3E">
        <w:rPr>
          <w:rFonts w:eastAsia="Times New Roman" w:cs="Segoe UI"/>
          <w:color w:val="000000"/>
          <w:kern w:val="0"/>
          <w:szCs w:val="24"/>
          <w:shd w:val="clear" w:color="auto" w:fill="FFFFFF"/>
          <w:lang w:eastAsia="en-AU"/>
          <w14:ligatures w14:val="none"/>
        </w:rPr>
        <w:t xml:space="preserve"> that are rich in braille </w:t>
      </w:r>
      <w:r w:rsidR="00D7704B" w:rsidRPr="00810C3E">
        <w:rPr>
          <w:rFonts w:eastAsia="Times New Roman" w:cs="Segoe UI"/>
          <w:color w:val="000000"/>
          <w:kern w:val="0"/>
          <w:szCs w:val="24"/>
          <w:shd w:val="clear" w:color="auto" w:fill="FFFFFF"/>
          <w:lang w:eastAsia="en-AU"/>
          <w14:ligatures w14:val="none"/>
        </w:rPr>
        <w:tab/>
      </w:r>
      <w:r w:rsidR="00C970BE" w:rsidRPr="00810C3E">
        <w:rPr>
          <w:rFonts w:eastAsia="Times New Roman" w:cs="Segoe UI"/>
          <w:color w:val="000000"/>
          <w:kern w:val="0"/>
          <w:szCs w:val="24"/>
          <w:shd w:val="clear" w:color="auto" w:fill="FFFFFF"/>
          <w:lang w:eastAsia="en-AU"/>
          <w14:ligatures w14:val="none"/>
        </w:rPr>
        <w:t xml:space="preserve">learning materials and resources to ensure an equitable </w:t>
      </w:r>
      <w:r w:rsidR="00D7704B" w:rsidRPr="00810C3E">
        <w:rPr>
          <w:rFonts w:eastAsia="Times New Roman" w:cs="Segoe UI"/>
          <w:color w:val="000000"/>
          <w:kern w:val="0"/>
          <w:szCs w:val="24"/>
          <w:shd w:val="clear" w:color="auto" w:fill="FFFFFF"/>
          <w:lang w:eastAsia="en-AU"/>
          <w14:ligatures w14:val="none"/>
        </w:rPr>
        <w:tab/>
      </w:r>
      <w:r w:rsidR="00C970BE" w:rsidRPr="00810C3E">
        <w:rPr>
          <w:rFonts w:eastAsia="Times New Roman" w:cs="Segoe UI"/>
          <w:color w:val="000000"/>
          <w:kern w:val="0"/>
          <w:szCs w:val="24"/>
          <w:shd w:val="clear" w:color="auto" w:fill="FFFFFF"/>
          <w:lang w:eastAsia="en-AU"/>
          <w14:ligatures w14:val="none"/>
        </w:rPr>
        <w:t>education for braille learners</w:t>
      </w:r>
      <w:r w:rsidRPr="00810C3E">
        <w:rPr>
          <w:rFonts w:eastAsia="Times New Roman" w:cs="Segoe UI"/>
          <w:color w:val="000000"/>
          <w:kern w:val="0"/>
          <w:szCs w:val="24"/>
          <w:shd w:val="clear" w:color="auto" w:fill="FFFFFF"/>
          <w:lang w:eastAsia="en-AU"/>
          <w14:ligatures w14:val="none"/>
        </w:rPr>
        <w:t>. </w:t>
      </w:r>
      <w:r w:rsidRPr="00810C3E">
        <w:rPr>
          <w:rFonts w:eastAsia="Times New Roman" w:cs="Segoe UI"/>
          <w:color w:val="000000"/>
          <w:kern w:val="0"/>
          <w:szCs w:val="24"/>
          <w:lang w:eastAsia="en-AU"/>
          <w14:ligatures w14:val="none"/>
        </w:rPr>
        <w:t> </w:t>
      </w:r>
    </w:p>
    <w:p w14:paraId="4CF31604" w14:textId="3FBE13FC" w:rsidR="005A2C7E" w:rsidRPr="00810C3E" w:rsidRDefault="005A2C7E" w:rsidP="00810C3E">
      <w:pPr>
        <w:numPr>
          <w:ilvl w:val="0"/>
          <w:numId w:val="8"/>
        </w:numPr>
        <w:spacing w:after="0" w:line="360" w:lineRule="auto"/>
        <w:ind w:left="709" w:hanging="283"/>
        <w:textAlignment w:val="baseline"/>
        <w:rPr>
          <w:rFonts w:eastAsia="Times New Roman" w:cs="Segoe UI"/>
          <w:kern w:val="0"/>
          <w:szCs w:val="24"/>
          <w:lang w:eastAsia="en-AU"/>
          <w14:ligatures w14:val="none"/>
        </w:rPr>
      </w:pPr>
      <w:r w:rsidRPr="00810C3E">
        <w:rPr>
          <w:rFonts w:eastAsia="Times New Roman" w:cs="Segoe UI"/>
          <w:color w:val="000000"/>
          <w:kern w:val="0"/>
          <w:szCs w:val="24"/>
          <w:shd w:val="clear" w:color="auto" w:fill="FFFFFF"/>
          <w:lang w:eastAsia="en-AU"/>
          <w14:ligatures w14:val="none"/>
        </w:rPr>
        <w:t xml:space="preserve">Funding for the production and timely delivery of educational </w:t>
      </w:r>
      <w:r w:rsidR="00D7704B" w:rsidRPr="00810C3E">
        <w:rPr>
          <w:rFonts w:eastAsia="Times New Roman" w:cs="Segoe UI"/>
          <w:color w:val="000000"/>
          <w:kern w:val="0"/>
          <w:szCs w:val="24"/>
          <w:shd w:val="clear" w:color="auto" w:fill="FFFFFF"/>
          <w:lang w:eastAsia="en-AU"/>
          <w14:ligatures w14:val="none"/>
        </w:rPr>
        <w:tab/>
      </w:r>
      <w:r w:rsidR="00235F92" w:rsidRPr="00810C3E">
        <w:rPr>
          <w:rFonts w:eastAsia="Times New Roman" w:cs="Segoe UI"/>
          <w:color w:val="000000"/>
          <w:kern w:val="0"/>
          <w:szCs w:val="24"/>
          <w:shd w:val="clear" w:color="auto" w:fill="FFFFFF"/>
          <w:lang w:eastAsia="en-AU"/>
          <w14:ligatures w14:val="none"/>
        </w:rPr>
        <w:t xml:space="preserve">braille </w:t>
      </w:r>
      <w:r w:rsidRPr="00810C3E">
        <w:rPr>
          <w:rFonts w:eastAsia="Times New Roman" w:cs="Segoe UI"/>
          <w:color w:val="000000"/>
          <w:kern w:val="0"/>
          <w:szCs w:val="24"/>
          <w:shd w:val="clear" w:color="auto" w:fill="FFFFFF"/>
          <w:lang w:eastAsia="en-AU"/>
          <w14:ligatures w14:val="none"/>
        </w:rPr>
        <w:t>materials.</w:t>
      </w:r>
      <w:r w:rsidRPr="00810C3E">
        <w:rPr>
          <w:rFonts w:eastAsia="Times New Roman" w:cs="Segoe UI"/>
          <w:color w:val="000000"/>
          <w:kern w:val="0"/>
          <w:szCs w:val="24"/>
          <w:lang w:eastAsia="en-AU"/>
          <w14:ligatures w14:val="none"/>
        </w:rPr>
        <w:t> </w:t>
      </w:r>
    </w:p>
    <w:p w14:paraId="1CE83CD4" w14:textId="6845AAC0" w:rsidR="005A2C7E" w:rsidRPr="00810C3E" w:rsidRDefault="005A2C7E" w:rsidP="00810C3E">
      <w:pPr>
        <w:spacing w:after="0" w:line="360" w:lineRule="auto"/>
        <w:textAlignment w:val="baseline"/>
        <w:rPr>
          <w:rFonts w:eastAsia="Times New Roman" w:cs="Segoe UI"/>
          <w:kern w:val="0"/>
          <w:szCs w:val="24"/>
          <w:lang w:eastAsia="en-AU"/>
          <w14:ligatures w14:val="none"/>
        </w:rPr>
      </w:pPr>
      <w:r w:rsidRPr="00810C3E">
        <w:rPr>
          <w:rFonts w:eastAsia="Times New Roman" w:cs="Segoe UI"/>
          <w:color w:val="000000"/>
          <w:kern w:val="0"/>
          <w:szCs w:val="24"/>
          <w:lang w:eastAsia="en-AU"/>
          <w14:ligatures w14:val="none"/>
        </w:rPr>
        <w:t> </w:t>
      </w:r>
      <w:r w:rsidRPr="00810C3E">
        <w:rPr>
          <w:rFonts w:eastAsia="Times New Roman" w:cs="Calibri"/>
          <w:kern w:val="0"/>
          <w:szCs w:val="24"/>
          <w:lang w:eastAsia="en-AU"/>
          <w14:ligatures w14:val="none"/>
        </w:rPr>
        <w:t> </w:t>
      </w:r>
      <w:r w:rsidRPr="00810C3E">
        <w:rPr>
          <w:rFonts w:eastAsia="Times New Roman" w:cs="Tahoma"/>
          <w:color w:val="000000"/>
          <w:kern w:val="0"/>
          <w:szCs w:val="24"/>
          <w:lang w:eastAsia="en-AU"/>
          <w14:ligatures w14:val="none"/>
        </w:rPr>
        <w:t> </w:t>
      </w:r>
    </w:p>
    <w:p w14:paraId="14725E58" w14:textId="38B72D3F" w:rsidR="005A2C7E" w:rsidRPr="00810C3E" w:rsidRDefault="00B25AE4" w:rsidP="00810C3E">
      <w:pPr>
        <w:spacing w:line="360" w:lineRule="auto"/>
        <w:rPr>
          <w:lang w:eastAsia="en-AU"/>
        </w:rPr>
      </w:pPr>
      <w:r w:rsidRPr="00810C3E">
        <w:rPr>
          <w:shd w:val="clear" w:color="auto" w:fill="FFFFFF"/>
          <w:lang w:eastAsia="en-AU"/>
        </w:rPr>
        <w:t xml:space="preserve">Addressing the SPEVI Call to Action requires a collective effort from </w:t>
      </w:r>
      <w:r w:rsidR="00235F92" w:rsidRPr="00810C3E">
        <w:rPr>
          <w:shd w:val="clear" w:color="auto" w:fill="FFFFFF"/>
          <w:lang w:eastAsia="en-AU"/>
        </w:rPr>
        <w:t xml:space="preserve">Australian state and territory </w:t>
      </w:r>
      <w:r w:rsidRPr="00810C3E">
        <w:rPr>
          <w:shd w:val="clear" w:color="auto" w:fill="FFFFFF"/>
          <w:lang w:eastAsia="en-AU"/>
        </w:rPr>
        <w:t xml:space="preserve">governments and respective Departments </w:t>
      </w:r>
      <w:r w:rsidR="00235F92" w:rsidRPr="00810C3E">
        <w:rPr>
          <w:shd w:val="clear" w:color="auto" w:fill="FFFFFF"/>
          <w:lang w:eastAsia="en-AU"/>
        </w:rPr>
        <w:t xml:space="preserve">of </w:t>
      </w:r>
      <w:r w:rsidRPr="00810C3E">
        <w:rPr>
          <w:shd w:val="clear" w:color="auto" w:fill="FFFFFF"/>
          <w:lang w:eastAsia="en-AU"/>
        </w:rPr>
        <w:t>Education</w:t>
      </w:r>
      <w:r w:rsidR="00E67233" w:rsidRPr="00810C3E">
        <w:rPr>
          <w:shd w:val="clear" w:color="auto" w:fill="FFFFFF"/>
          <w:lang w:eastAsia="en-AU"/>
        </w:rPr>
        <w:t xml:space="preserve"> to enact systems</w:t>
      </w:r>
      <w:r w:rsidR="00235F92" w:rsidRPr="00810C3E">
        <w:rPr>
          <w:shd w:val="clear" w:color="auto" w:fill="FFFFFF"/>
          <w:lang w:eastAsia="en-AU"/>
        </w:rPr>
        <w:t xml:space="preserve"> and supports</w:t>
      </w:r>
      <w:r w:rsidR="00E67233" w:rsidRPr="00810C3E">
        <w:rPr>
          <w:shd w:val="clear" w:color="auto" w:fill="FFFFFF"/>
          <w:lang w:eastAsia="en-AU"/>
        </w:rPr>
        <w:t xml:space="preserve"> </w:t>
      </w:r>
      <w:r w:rsidR="00235F92" w:rsidRPr="00810C3E">
        <w:rPr>
          <w:shd w:val="clear" w:color="auto" w:fill="FFFFFF"/>
          <w:lang w:eastAsia="en-AU"/>
        </w:rPr>
        <w:t>that</w:t>
      </w:r>
      <w:r w:rsidR="00E67233" w:rsidRPr="00810C3E">
        <w:rPr>
          <w:shd w:val="clear" w:color="auto" w:fill="FFFFFF"/>
          <w:lang w:eastAsia="en-AU"/>
        </w:rPr>
        <w:t xml:space="preserve"> afford equitable rights to literacy </w:t>
      </w:r>
      <w:r w:rsidR="00235F92" w:rsidRPr="00810C3E">
        <w:rPr>
          <w:shd w:val="clear" w:color="auto" w:fill="FFFFFF"/>
          <w:lang w:eastAsia="en-AU"/>
        </w:rPr>
        <w:t xml:space="preserve">education </w:t>
      </w:r>
      <w:r w:rsidR="00E67233" w:rsidRPr="00810C3E">
        <w:rPr>
          <w:shd w:val="clear" w:color="auto" w:fill="FFFFFF"/>
          <w:lang w:eastAsia="en-AU"/>
        </w:rPr>
        <w:t>for students w</w:t>
      </w:r>
      <w:r w:rsidR="00235F92" w:rsidRPr="00810C3E">
        <w:rPr>
          <w:shd w:val="clear" w:color="auto" w:fill="FFFFFF"/>
          <w:lang w:eastAsia="en-AU"/>
        </w:rPr>
        <w:t>ho are blind or have low vision</w:t>
      </w:r>
      <w:r w:rsidRPr="00810C3E">
        <w:rPr>
          <w:shd w:val="clear" w:color="auto" w:fill="FFFFFF"/>
          <w:lang w:eastAsia="en-AU"/>
        </w:rPr>
        <w:t xml:space="preserve"> as proclaimed in the </w:t>
      </w:r>
      <w:r w:rsidR="00235F92" w:rsidRPr="00810C3E">
        <w:rPr>
          <w:shd w:val="clear" w:color="auto" w:fill="FFFFFF"/>
          <w:lang w:eastAsia="en-AU"/>
        </w:rPr>
        <w:t>UNCRPD</w:t>
      </w:r>
      <w:r w:rsidRPr="00810C3E">
        <w:rPr>
          <w:shd w:val="clear" w:color="auto" w:fill="FFFFFF"/>
          <w:lang w:eastAsia="en-AU"/>
        </w:rPr>
        <w:t xml:space="preserve"> (U</w:t>
      </w:r>
      <w:r w:rsidR="00CA64E7" w:rsidRPr="00810C3E">
        <w:rPr>
          <w:shd w:val="clear" w:color="auto" w:fill="FFFFFF"/>
          <w:lang w:eastAsia="en-AU"/>
        </w:rPr>
        <w:t xml:space="preserve">nited </w:t>
      </w:r>
      <w:r w:rsidR="00235F92" w:rsidRPr="00810C3E">
        <w:rPr>
          <w:shd w:val="clear" w:color="auto" w:fill="FFFFFF"/>
          <w:lang w:eastAsia="en-AU"/>
        </w:rPr>
        <w:t>N</w:t>
      </w:r>
      <w:r w:rsidR="00CA64E7" w:rsidRPr="00810C3E">
        <w:rPr>
          <w:shd w:val="clear" w:color="auto" w:fill="FFFFFF"/>
          <w:lang w:eastAsia="en-AU"/>
        </w:rPr>
        <w:t>ations</w:t>
      </w:r>
      <w:r w:rsidRPr="00810C3E">
        <w:rPr>
          <w:shd w:val="clear" w:color="auto" w:fill="FFFFFF"/>
          <w:lang w:eastAsia="en-AU"/>
        </w:rPr>
        <w:t>, 2006).</w:t>
      </w:r>
      <w:r w:rsidRPr="00810C3E">
        <w:rPr>
          <w:lang w:eastAsia="en-AU"/>
        </w:rPr>
        <w:t> </w:t>
      </w:r>
    </w:p>
    <w:p w14:paraId="029A1AD5" w14:textId="77777777" w:rsidR="005A2C7E" w:rsidRPr="00810C3E" w:rsidRDefault="005A2C7E" w:rsidP="00810C3E">
      <w:pPr>
        <w:spacing w:after="0" w:line="360" w:lineRule="auto"/>
        <w:textAlignment w:val="baseline"/>
        <w:rPr>
          <w:rFonts w:eastAsia="Times New Roman" w:cs="Segoe UI"/>
          <w:color w:val="000000"/>
          <w:kern w:val="0"/>
          <w:szCs w:val="24"/>
          <w:shd w:val="clear" w:color="auto" w:fill="FFFFFF"/>
          <w:lang w:eastAsia="en-AU"/>
          <w14:ligatures w14:val="none"/>
        </w:rPr>
      </w:pPr>
    </w:p>
    <w:p w14:paraId="6D040E14" w14:textId="77777777" w:rsidR="005A2C7E" w:rsidRPr="00810C3E" w:rsidRDefault="005A2C7E" w:rsidP="00810C3E">
      <w:pPr>
        <w:spacing w:after="0" w:line="360" w:lineRule="auto"/>
        <w:textAlignment w:val="baseline"/>
        <w:rPr>
          <w:rFonts w:eastAsia="Times New Roman" w:cs="Segoe UI"/>
          <w:color w:val="000000"/>
          <w:kern w:val="0"/>
          <w:szCs w:val="24"/>
          <w:shd w:val="clear" w:color="auto" w:fill="FFFFFF"/>
          <w:lang w:eastAsia="en-AU"/>
          <w14:ligatures w14:val="none"/>
        </w:rPr>
      </w:pPr>
    </w:p>
    <w:p w14:paraId="4F9D1804" w14:textId="77777777" w:rsidR="005A2C7E" w:rsidRPr="00810C3E" w:rsidRDefault="005A2C7E" w:rsidP="00810C3E">
      <w:pPr>
        <w:spacing w:after="0" w:line="360" w:lineRule="auto"/>
        <w:textAlignment w:val="baseline"/>
        <w:rPr>
          <w:rFonts w:eastAsia="Times New Roman" w:cs="Segoe UI"/>
          <w:color w:val="000000"/>
          <w:kern w:val="0"/>
          <w:szCs w:val="24"/>
          <w:shd w:val="clear" w:color="auto" w:fill="FFFFFF"/>
          <w:lang w:eastAsia="en-AU"/>
          <w14:ligatures w14:val="none"/>
        </w:rPr>
      </w:pPr>
    </w:p>
    <w:p w14:paraId="73824C4E" w14:textId="77777777" w:rsidR="00D7704B" w:rsidRPr="00810C3E" w:rsidRDefault="00D7704B" w:rsidP="00810C3E">
      <w:pPr>
        <w:spacing w:after="200" w:line="360" w:lineRule="auto"/>
        <w:rPr>
          <w:rFonts w:eastAsia="Times New Roman" w:cs="Segoe UI"/>
          <w:b/>
          <w:bCs/>
          <w:color w:val="000000"/>
          <w:kern w:val="0"/>
          <w:szCs w:val="24"/>
          <w:shd w:val="clear" w:color="auto" w:fill="FFFFFF"/>
          <w:lang w:eastAsia="en-AU"/>
          <w14:ligatures w14:val="none"/>
        </w:rPr>
      </w:pPr>
      <w:r w:rsidRPr="00810C3E">
        <w:rPr>
          <w:rFonts w:eastAsia="Times New Roman" w:cs="Segoe UI"/>
          <w:b/>
          <w:bCs/>
          <w:color w:val="000000"/>
          <w:kern w:val="0"/>
          <w:szCs w:val="24"/>
          <w:shd w:val="clear" w:color="auto" w:fill="FFFFFF"/>
          <w:lang w:eastAsia="en-AU"/>
          <w14:ligatures w14:val="none"/>
        </w:rPr>
        <w:br w:type="page"/>
      </w:r>
    </w:p>
    <w:p w14:paraId="58AF40DF" w14:textId="06FFC788" w:rsidR="005A2C7E" w:rsidRPr="00810C3E" w:rsidRDefault="005A2C7E" w:rsidP="00810C3E">
      <w:pPr>
        <w:pStyle w:val="Heading1"/>
      </w:pPr>
      <w:bookmarkStart w:id="1" w:name="_Hlk175136221"/>
      <w:r w:rsidRPr="00810C3E">
        <w:rPr>
          <w:shd w:val="clear" w:color="auto" w:fill="FFFFFF"/>
        </w:rPr>
        <w:lastRenderedPageBreak/>
        <w:t>References</w:t>
      </w:r>
      <w:r w:rsidRPr="00810C3E">
        <w:t> </w:t>
      </w:r>
    </w:p>
    <w:p w14:paraId="565888AC" w14:textId="77777777" w:rsidR="005A2C7E" w:rsidRPr="00810C3E" w:rsidRDefault="005A2C7E" w:rsidP="00810C3E">
      <w:pPr>
        <w:spacing w:after="0" w:line="360" w:lineRule="auto"/>
        <w:textAlignment w:val="baseline"/>
        <w:rPr>
          <w:rFonts w:eastAsia="Times New Roman" w:cs="Segoe UI"/>
          <w:kern w:val="0"/>
          <w:szCs w:val="24"/>
          <w:lang w:eastAsia="en-AU"/>
          <w14:ligatures w14:val="none"/>
        </w:rPr>
      </w:pPr>
      <w:r w:rsidRPr="00810C3E">
        <w:rPr>
          <w:rFonts w:eastAsia="Times New Roman" w:cs="Segoe UI"/>
          <w:kern w:val="0"/>
          <w:szCs w:val="24"/>
          <w:shd w:val="clear" w:color="auto" w:fill="FFFFFF"/>
          <w:lang w:eastAsia="en-AU"/>
          <w14:ligatures w14:val="none"/>
        </w:rPr>
        <w:t>  </w:t>
      </w:r>
      <w:r w:rsidRPr="00810C3E">
        <w:rPr>
          <w:rFonts w:eastAsia="Times New Roman" w:cs="Segoe UI"/>
          <w:kern w:val="0"/>
          <w:szCs w:val="24"/>
          <w:lang w:eastAsia="en-AU"/>
          <w14:ligatures w14:val="none"/>
        </w:rPr>
        <w:t> </w:t>
      </w:r>
    </w:p>
    <w:p w14:paraId="1D800A46" w14:textId="50A15E8C" w:rsidR="005A2C7E" w:rsidRPr="00810C3E" w:rsidRDefault="005A2C7E" w:rsidP="00810C3E">
      <w:pPr>
        <w:spacing w:after="0" w:line="360" w:lineRule="auto"/>
        <w:ind w:left="720" w:hanging="720"/>
        <w:textAlignment w:val="baseline"/>
        <w:rPr>
          <w:rFonts w:eastAsia="Times New Roman" w:cs="Segoe UI"/>
          <w:kern w:val="0"/>
          <w:szCs w:val="24"/>
          <w:lang w:eastAsia="en-AU"/>
          <w14:ligatures w14:val="none"/>
        </w:rPr>
      </w:pPr>
      <w:r w:rsidRPr="00810C3E">
        <w:rPr>
          <w:rFonts w:eastAsia="Times New Roman" w:cs="Segoe UI"/>
          <w:kern w:val="0"/>
          <w:szCs w:val="24"/>
          <w:lang w:eastAsia="en-AU"/>
          <w14:ligatures w14:val="none"/>
        </w:rPr>
        <w:t>Australian Curriculum, Assessment and Reporting Authority (ACARA)</w:t>
      </w:r>
      <w:r w:rsidR="006A1CA1" w:rsidRPr="00810C3E">
        <w:rPr>
          <w:rFonts w:eastAsia="Times New Roman" w:cs="Segoe UI"/>
          <w:kern w:val="0"/>
          <w:szCs w:val="24"/>
          <w:lang w:eastAsia="en-AU"/>
          <w14:ligatures w14:val="none"/>
        </w:rPr>
        <w:t>.</w:t>
      </w:r>
      <w:r w:rsidRPr="00810C3E">
        <w:rPr>
          <w:rFonts w:eastAsia="Times New Roman" w:cs="Segoe UI"/>
          <w:kern w:val="0"/>
          <w:szCs w:val="24"/>
          <w:lang w:eastAsia="en-AU"/>
          <w14:ligatures w14:val="none"/>
        </w:rPr>
        <w:t xml:space="preserve"> </w:t>
      </w:r>
      <w:r w:rsidR="006A1CA1" w:rsidRPr="00810C3E">
        <w:rPr>
          <w:rFonts w:eastAsia="Times New Roman" w:cs="Segoe UI"/>
          <w:kern w:val="0"/>
          <w:szCs w:val="24"/>
          <w:lang w:eastAsia="en-AU"/>
          <w14:ligatures w14:val="none"/>
        </w:rPr>
        <w:t>(</w:t>
      </w:r>
      <w:r w:rsidRPr="00810C3E">
        <w:rPr>
          <w:rFonts w:eastAsia="Times New Roman" w:cs="Segoe UI"/>
          <w:kern w:val="0"/>
          <w:szCs w:val="24"/>
          <w:lang w:eastAsia="en-AU"/>
          <w14:ligatures w14:val="none"/>
        </w:rPr>
        <w:t>2016</w:t>
      </w:r>
      <w:r w:rsidR="006A1CA1" w:rsidRPr="00810C3E">
        <w:rPr>
          <w:rFonts w:eastAsia="Times New Roman" w:cs="Segoe UI"/>
          <w:kern w:val="0"/>
          <w:szCs w:val="24"/>
          <w:lang w:eastAsia="en-AU"/>
          <w14:ligatures w14:val="none"/>
        </w:rPr>
        <w:t>)</w:t>
      </w:r>
      <w:r w:rsidRPr="00810C3E">
        <w:rPr>
          <w:rFonts w:eastAsia="Times New Roman" w:cs="Segoe UI"/>
          <w:kern w:val="0"/>
          <w:szCs w:val="24"/>
          <w:lang w:eastAsia="en-AU"/>
          <w14:ligatures w14:val="none"/>
        </w:rPr>
        <w:t>.  </w:t>
      </w:r>
      <w:r w:rsidR="003130C6" w:rsidRPr="00810C3E">
        <w:rPr>
          <w:rFonts w:eastAsia="Times New Roman" w:cs="Segoe UI"/>
          <w:i/>
          <w:iCs/>
          <w:kern w:val="0"/>
          <w:szCs w:val="24"/>
          <w:lang w:eastAsia="en-AU"/>
          <w14:ligatures w14:val="none"/>
        </w:rPr>
        <w:t>What is literacy?</w:t>
      </w:r>
      <w:r w:rsidR="003130C6" w:rsidRPr="00810C3E">
        <w:rPr>
          <w:rFonts w:eastAsia="Times New Roman" w:cs="Segoe UI"/>
          <w:kern w:val="0"/>
          <w:szCs w:val="24"/>
          <w:lang w:eastAsia="en-AU"/>
          <w14:ligatures w14:val="none"/>
        </w:rPr>
        <w:t xml:space="preserve"> </w:t>
      </w:r>
      <w:hyperlink r:id="rId7" w:history="1">
        <w:r w:rsidR="003130C6" w:rsidRPr="00810C3E">
          <w:rPr>
            <w:rStyle w:val="Hyperlink"/>
            <w:rFonts w:eastAsia="Times New Roman" w:cs="Segoe UI"/>
            <w:kern w:val="0"/>
            <w:szCs w:val="24"/>
            <w:lang w:eastAsia="en-AU"/>
            <w14:ligatures w14:val="none"/>
          </w:rPr>
          <w:t>https://www.australiancurriculum.edu.au/resources/national-literacy-and-numeracy-learning-progressions/national-literacy-learning-progression/what-is-literacy/</w:t>
        </w:r>
      </w:hyperlink>
      <w:r w:rsidRPr="00810C3E">
        <w:rPr>
          <w:rFonts w:eastAsia="Times New Roman" w:cs="Segoe UI"/>
          <w:kern w:val="0"/>
          <w:szCs w:val="24"/>
          <w:lang w:eastAsia="en-AU"/>
          <w14:ligatures w14:val="none"/>
        </w:rPr>
        <w:t> </w:t>
      </w:r>
    </w:p>
    <w:p w14:paraId="63D79FB0" w14:textId="11D852D4" w:rsidR="00810C3E" w:rsidRPr="008B5A56" w:rsidRDefault="00810C3E" w:rsidP="00810C3E">
      <w:pPr>
        <w:spacing w:after="0" w:line="360" w:lineRule="auto"/>
        <w:ind w:left="720" w:hanging="720"/>
        <w:textAlignment w:val="baseline"/>
        <w:rPr>
          <w:rFonts w:eastAsia="Times New Roman" w:cs="Segoe UI"/>
          <w:kern w:val="0"/>
          <w:szCs w:val="24"/>
          <w:lang w:val="nl-NL" w:eastAsia="en-AU"/>
          <w14:ligatures w14:val="none"/>
        </w:rPr>
      </w:pPr>
      <w:r w:rsidRPr="00810C3E">
        <w:rPr>
          <w:rFonts w:eastAsia="Times New Roman" w:cs="Segoe UI"/>
          <w:kern w:val="0"/>
          <w:szCs w:val="24"/>
          <w:lang w:eastAsia="en-AU"/>
          <w14:ligatures w14:val="none"/>
        </w:rPr>
        <w:t xml:space="preserve">Australian Curriculum, Assessment and Reporting Authority (ACARA). </w:t>
      </w:r>
      <w:r w:rsidRPr="008B5A56">
        <w:rPr>
          <w:rFonts w:eastAsia="Times New Roman" w:cs="Segoe UI"/>
          <w:kern w:val="0"/>
          <w:szCs w:val="24"/>
          <w:lang w:val="nl-NL" w:eastAsia="en-AU"/>
          <w14:ligatures w14:val="none"/>
        </w:rPr>
        <w:t>(2016).  </w:t>
      </w:r>
      <w:r w:rsidRPr="008B5A56">
        <w:rPr>
          <w:rFonts w:eastAsia="Times New Roman" w:cs="Segoe UI"/>
          <w:i/>
          <w:iCs/>
          <w:kern w:val="0"/>
          <w:szCs w:val="24"/>
          <w:lang w:val="nl-NL" w:eastAsia="en-AU"/>
          <w14:ligatures w14:val="none"/>
        </w:rPr>
        <w:t xml:space="preserve">Student Diversity </w:t>
      </w:r>
      <w:hyperlink r:id="rId8" w:history="1">
        <w:r w:rsidRPr="008B5A56">
          <w:rPr>
            <w:rStyle w:val="Hyperlink"/>
            <w:rFonts w:eastAsia="Times New Roman" w:cs="Segoe UI"/>
            <w:kern w:val="0"/>
            <w:szCs w:val="24"/>
            <w:lang w:val="nl-NL" w:eastAsia="en-AU"/>
            <w14:ligatures w14:val="none"/>
          </w:rPr>
          <w:t>https://www.australiancurriculum.edu.au/f-10-curriculum/languages/student-diversity/</w:t>
        </w:r>
      </w:hyperlink>
      <w:r w:rsidRPr="008B5A56">
        <w:rPr>
          <w:rFonts w:eastAsia="Times New Roman" w:cs="Segoe UI"/>
          <w:i/>
          <w:iCs/>
          <w:kern w:val="0"/>
          <w:szCs w:val="24"/>
          <w:lang w:val="nl-NL" w:eastAsia="en-AU"/>
          <w14:ligatures w14:val="none"/>
        </w:rPr>
        <w:t xml:space="preserve"> </w:t>
      </w:r>
      <w:r w:rsidR="005A2C7E" w:rsidRPr="008B5A56">
        <w:rPr>
          <w:rFonts w:eastAsia="Times New Roman" w:cs="Segoe UI"/>
          <w:kern w:val="0"/>
          <w:szCs w:val="24"/>
          <w:lang w:val="nl-NL" w:eastAsia="en-AU"/>
          <w14:ligatures w14:val="none"/>
        </w:rPr>
        <w:t> </w:t>
      </w:r>
    </w:p>
    <w:p w14:paraId="50D060AF" w14:textId="188FE883" w:rsidR="000652CC" w:rsidRPr="00810C3E" w:rsidRDefault="0024758D" w:rsidP="00810C3E">
      <w:pPr>
        <w:spacing w:after="0" w:line="360" w:lineRule="auto"/>
        <w:ind w:left="720" w:hanging="720"/>
        <w:textAlignment w:val="baseline"/>
        <w:rPr>
          <w:lang w:eastAsia="en-AU"/>
        </w:rPr>
      </w:pPr>
      <w:r w:rsidRPr="00810C3E">
        <w:rPr>
          <w:lang w:eastAsia="en-AU"/>
        </w:rPr>
        <w:t>Australian Government. (2023 [latest version]). Disability</w:t>
      </w:r>
    </w:p>
    <w:p w14:paraId="4A8D9BE1" w14:textId="651A052B" w:rsidR="0024758D" w:rsidRPr="008B5A56" w:rsidRDefault="0024758D" w:rsidP="00810C3E">
      <w:pPr>
        <w:spacing w:line="360" w:lineRule="auto"/>
        <w:ind w:left="720"/>
        <w:rPr>
          <w:lang w:val="nl-NL" w:eastAsia="en-AU"/>
        </w:rPr>
      </w:pPr>
      <w:r w:rsidRPr="00810C3E">
        <w:rPr>
          <w:lang w:eastAsia="en-AU"/>
        </w:rPr>
        <w:t>Discrimination Act 1992. Australia: Australian Government Publishing Service. </w:t>
      </w:r>
      <w:hyperlink r:id="rId9" w:history="1">
        <w:r w:rsidRPr="008B5A56">
          <w:rPr>
            <w:rStyle w:val="Hyperlink"/>
            <w:rFonts w:eastAsia="Times New Roman" w:cs="Segoe UI"/>
            <w:kern w:val="0"/>
            <w:szCs w:val="24"/>
            <w:lang w:val="nl-NL" w:eastAsia="en-AU"/>
            <w14:ligatures w14:val="none"/>
          </w:rPr>
          <w:t>https://www.legislation.gov.au/C2004A04426/latest/text</w:t>
        </w:r>
      </w:hyperlink>
      <w:r w:rsidRPr="008B5A56">
        <w:rPr>
          <w:lang w:val="nl-NL" w:eastAsia="en-AU"/>
        </w:rPr>
        <w:t xml:space="preserve"> </w:t>
      </w:r>
    </w:p>
    <w:p w14:paraId="0D941E34" w14:textId="349FACD2" w:rsidR="005A2C7E" w:rsidRPr="00810C3E" w:rsidRDefault="005A2C7E" w:rsidP="00810C3E">
      <w:pPr>
        <w:spacing w:after="0" w:line="360" w:lineRule="auto"/>
        <w:ind w:left="720" w:hanging="720"/>
        <w:textAlignment w:val="baseline"/>
        <w:rPr>
          <w:rFonts w:eastAsia="Times New Roman" w:cs="Segoe UI"/>
          <w:kern w:val="0"/>
          <w:szCs w:val="24"/>
          <w:lang w:eastAsia="en-AU"/>
          <w14:ligatures w14:val="none"/>
        </w:rPr>
      </w:pPr>
      <w:r w:rsidRPr="008B5A56">
        <w:rPr>
          <w:rFonts w:eastAsia="Times New Roman" w:cs="Segoe UI"/>
          <w:kern w:val="0"/>
          <w:szCs w:val="24"/>
          <w:lang w:val="nl-NL" w:eastAsia="en-AU"/>
          <w14:ligatures w14:val="none"/>
        </w:rPr>
        <w:t xml:space="preserve">Corn, A. L., &amp; Koenig, A. J. (2002). </w:t>
      </w:r>
      <w:r w:rsidRPr="00810C3E">
        <w:rPr>
          <w:rFonts w:eastAsia="Times New Roman" w:cs="Segoe UI"/>
          <w:kern w:val="0"/>
          <w:szCs w:val="24"/>
          <w:lang w:eastAsia="en-AU"/>
          <w14:ligatures w14:val="none"/>
        </w:rPr>
        <w:t xml:space="preserve">Literacy for </w:t>
      </w:r>
      <w:r w:rsidR="006A1CA1" w:rsidRPr="00810C3E">
        <w:rPr>
          <w:rFonts w:eastAsia="Times New Roman" w:cs="Segoe UI"/>
          <w:kern w:val="0"/>
          <w:szCs w:val="24"/>
          <w:lang w:eastAsia="en-AU"/>
          <w14:ligatures w14:val="none"/>
        </w:rPr>
        <w:t>s</w:t>
      </w:r>
      <w:r w:rsidRPr="00810C3E">
        <w:rPr>
          <w:rFonts w:eastAsia="Times New Roman" w:cs="Segoe UI"/>
          <w:kern w:val="0"/>
          <w:szCs w:val="24"/>
          <w:lang w:eastAsia="en-AU"/>
          <w14:ligatures w14:val="none"/>
        </w:rPr>
        <w:t xml:space="preserve">tudents with </w:t>
      </w:r>
      <w:r w:rsidR="006A1CA1" w:rsidRPr="00810C3E">
        <w:rPr>
          <w:rFonts w:eastAsia="Times New Roman" w:cs="Segoe UI"/>
          <w:kern w:val="0"/>
          <w:szCs w:val="24"/>
          <w:lang w:eastAsia="en-AU"/>
          <w14:ligatures w14:val="none"/>
        </w:rPr>
        <w:t>l</w:t>
      </w:r>
      <w:r w:rsidRPr="00810C3E">
        <w:rPr>
          <w:rFonts w:eastAsia="Times New Roman" w:cs="Segoe UI"/>
          <w:kern w:val="0"/>
          <w:szCs w:val="24"/>
          <w:lang w:eastAsia="en-AU"/>
          <w14:ligatures w14:val="none"/>
        </w:rPr>
        <w:t xml:space="preserve">ow </w:t>
      </w:r>
      <w:r w:rsidR="006A1CA1" w:rsidRPr="00810C3E">
        <w:rPr>
          <w:rFonts w:eastAsia="Times New Roman" w:cs="Segoe UI"/>
          <w:kern w:val="0"/>
          <w:szCs w:val="24"/>
          <w:lang w:eastAsia="en-AU"/>
          <w14:ligatures w14:val="none"/>
        </w:rPr>
        <w:t>v</w:t>
      </w:r>
      <w:r w:rsidRPr="00810C3E">
        <w:rPr>
          <w:rFonts w:eastAsia="Times New Roman" w:cs="Segoe UI"/>
          <w:kern w:val="0"/>
          <w:szCs w:val="24"/>
          <w:lang w:eastAsia="en-AU"/>
          <w14:ligatures w14:val="none"/>
        </w:rPr>
        <w:t xml:space="preserve">ision: A </w:t>
      </w:r>
      <w:r w:rsidR="006A1CA1" w:rsidRPr="00810C3E">
        <w:rPr>
          <w:rFonts w:eastAsia="Times New Roman" w:cs="Segoe UI"/>
          <w:kern w:val="0"/>
          <w:szCs w:val="24"/>
          <w:lang w:eastAsia="en-AU"/>
          <w14:ligatures w14:val="none"/>
        </w:rPr>
        <w:t>f</w:t>
      </w:r>
      <w:r w:rsidRPr="00810C3E">
        <w:rPr>
          <w:rFonts w:eastAsia="Times New Roman" w:cs="Segoe UI"/>
          <w:kern w:val="0"/>
          <w:szCs w:val="24"/>
          <w:lang w:eastAsia="en-AU"/>
          <w14:ligatures w14:val="none"/>
        </w:rPr>
        <w:t xml:space="preserve">ramework for </w:t>
      </w:r>
      <w:r w:rsidR="006A1CA1" w:rsidRPr="00810C3E">
        <w:rPr>
          <w:rFonts w:eastAsia="Times New Roman" w:cs="Segoe UI"/>
          <w:kern w:val="0"/>
          <w:szCs w:val="24"/>
          <w:lang w:eastAsia="en-AU"/>
          <w14:ligatures w14:val="none"/>
        </w:rPr>
        <w:t>d</w:t>
      </w:r>
      <w:r w:rsidRPr="00810C3E">
        <w:rPr>
          <w:rFonts w:eastAsia="Times New Roman" w:cs="Segoe UI"/>
          <w:kern w:val="0"/>
          <w:szCs w:val="24"/>
          <w:lang w:eastAsia="en-AU"/>
          <w14:ligatures w14:val="none"/>
        </w:rPr>
        <w:t xml:space="preserve">elivering </w:t>
      </w:r>
      <w:r w:rsidR="006A1CA1" w:rsidRPr="00810C3E">
        <w:rPr>
          <w:rFonts w:eastAsia="Times New Roman" w:cs="Segoe UI"/>
          <w:kern w:val="0"/>
          <w:szCs w:val="24"/>
          <w:lang w:eastAsia="en-AU"/>
          <w14:ligatures w14:val="none"/>
        </w:rPr>
        <w:t>i</w:t>
      </w:r>
      <w:r w:rsidRPr="00810C3E">
        <w:rPr>
          <w:rFonts w:eastAsia="Times New Roman" w:cs="Segoe UI"/>
          <w:kern w:val="0"/>
          <w:szCs w:val="24"/>
          <w:lang w:eastAsia="en-AU"/>
          <w14:ligatures w14:val="none"/>
        </w:rPr>
        <w:t>nstruction. </w:t>
      </w:r>
      <w:r w:rsidRPr="00810C3E">
        <w:rPr>
          <w:rFonts w:eastAsia="Times New Roman" w:cs="Segoe UI"/>
          <w:i/>
          <w:iCs/>
          <w:kern w:val="0"/>
          <w:szCs w:val="24"/>
          <w:lang w:eastAsia="en-AU"/>
          <w14:ligatures w14:val="none"/>
        </w:rPr>
        <w:t>Journal of Visual Impairment &amp; Blindness</w:t>
      </w:r>
      <w:r w:rsidRPr="00810C3E">
        <w:rPr>
          <w:rFonts w:eastAsia="Times New Roman" w:cs="Segoe UI"/>
          <w:kern w:val="0"/>
          <w:szCs w:val="24"/>
          <w:lang w:eastAsia="en-AU"/>
          <w14:ligatures w14:val="none"/>
        </w:rPr>
        <w:t>, </w:t>
      </w:r>
      <w:r w:rsidRPr="00810C3E">
        <w:rPr>
          <w:rFonts w:eastAsia="Times New Roman" w:cs="Segoe UI"/>
          <w:i/>
          <w:iCs/>
          <w:kern w:val="0"/>
          <w:szCs w:val="24"/>
          <w:lang w:eastAsia="en-AU"/>
          <w14:ligatures w14:val="none"/>
        </w:rPr>
        <w:t>96</w:t>
      </w:r>
      <w:r w:rsidRPr="00810C3E">
        <w:rPr>
          <w:rFonts w:eastAsia="Times New Roman" w:cs="Segoe UI"/>
          <w:kern w:val="0"/>
          <w:szCs w:val="24"/>
          <w:lang w:eastAsia="en-AU"/>
          <w14:ligatures w14:val="none"/>
        </w:rPr>
        <w:t>(5), 305-321. </w:t>
      </w:r>
      <w:hyperlink r:id="rId10" w:tgtFrame="_blank" w:history="1">
        <w:r w:rsidRPr="00810C3E">
          <w:rPr>
            <w:rFonts w:eastAsia="Times New Roman" w:cs="Segoe UI"/>
            <w:kern w:val="0"/>
            <w:szCs w:val="24"/>
            <w:lang w:eastAsia="en-AU"/>
            <w14:ligatures w14:val="none"/>
          </w:rPr>
          <w:t>https://doi.org/10.1177/0145482X0209600503</w:t>
        </w:r>
      </w:hyperlink>
      <w:r w:rsidRPr="00810C3E">
        <w:rPr>
          <w:rFonts w:eastAsia="Times New Roman" w:cs="Segoe UI"/>
          <w:kern w:val="0"/>
          <w:szCs w:val="24"/>
          <w:lang w:eastAsia="en-AU"/>
          <w14:ligatures w14:val="none"/>
        </w:rPr>
        <w:t> </w:t>
      </w:r>
    </w:p>
    <w:p w14:paraId="12402E69" w14:textId="10C19FA3" w:rsidR="003130C6" w:rsidRPr="00810C3E" w:rsidRDefault="002933C0" w:rsidP="00810C3E">
      <w:pPr>
        <w:spacing w:after="0" w:line="360" w:lineRule="auto"/>
        <w:ind w:left="720" w:hanging="720"/>
        <w:textAlignment w:val="baseline"/>
      </w:pPr>
      <w:r w:rsidRPr="00810C3E">
        <w:t xml:space="preserve">Emerson, R.W., Holbrook, M.C., &amp; D'Andrea, F.M. (2009). </w:t>
      </w:r>
      <w:r w:rsidRPr="00810C3E">
        <w:rPr>
          <w:i/>
        </w:rPr>
        <w:t xml:space="preserve"> </w:t>
      </w:r>
      <w:r w:rsidRPr="00810C3E">
        <w:t xml:space="preserve">Acquisition of </w:t>
      </w:r>
    </w:p>
    <w:p w14:paraId="777FB8F4" w14:textId="5651914E" w:rsidR="002933C0" w:rsidRPr="00810C3E" w:rsidRDefault="002933C0" w:rsidP="00810C3E">
      <w:pPr>
        <w:spacing w:line="360" w:lineRule="auto"/>
        <w:ind w:left="720"/>
      </w:pPr>
      <w:r w:rsidRPr="00810C3E">
        <w:t>literacy skills by young children who are blind: Results from the ABC Braille Study.</w:t>
      </w:r>
      <w:r w:rsidRPr="00810C3E">
        <w:rPr>
          <w:i/>
        </w:rPr>
        <w:t xml:space="preserve"> Journal of Visual Impairment &amp; Blindness, 103</w:t>
      </w:r>
      <w:r w:rsidRPr="00810C3E">
        <w:t>(10)</w:t>
      </w:r>
      <w:r w:rsidRPr="00810C3E">
        <w:rPr>
          <w:i/>
        </w:rPr>
        <w:t>,</w:t>
      </w:r>
      <w:r w:rsidRPr="00810C3E">
        <w:t xml:space="preserve"> 610-624.</w:t>
      </w:r>
    </w:p>
    <w:p w14:paraId="0B51CC5F" w14:textId="5CDAFAA3" w:rsidR="005A2C7E" w:rsidRPr="00810C3E" w:rsidRDefault="005A2C7E" w:rsidP="00810C3E">
      <w:pPr>
        <w:spacing w:after="0" w:line="360" w:lineRule="auto"/>
        <w:ind w:left="720" w:hanging="720"/>
        <w:textAlignment w:val="baseline"/>
        <w:rPr>
          <w:rFonts w:eastAsia="Times New Roman" w:cs="Segoe UI"/>
          <w:kern w:val="0"/>
          <w:szCs w:val="24"/>
          <w:lang w:eastAsia="en-AU"/>
          <w14:ligatures w14:val="none"/>
        </w:rPr>
      </w:pPr>
      <w:r w:rsidRPr="00810C3E">
        <w:rPr>
          <w:rFonts w:eastAsia="Times New Roman" w:cs="Segoe UI"/>
          <w:kern w:val="0"/>
          <w:szCs w:val="24"/>
          <w:shd w:val="clear" w:color="auto" w:fill="FFFFFF"/>
          <w:lang w:eastAsia="en-AU"/>
          <w14:ligatures w14:val="none"/>
        </w:rPr>
        <w:t>Englebretson, R., Holbrook, M.C., Treiman, R. </w:t>
      </w:r>
      <w:r w:rsidRPr="00810C3E">
        <w:rPr>
          <w:rFonts w:eastAsia="Times New Roman" w:cs="Segoe UI"/>
          <w:i/>
          <w:iCs/>
          <w:kern w:val="0"/>
          <w:szCs w:val="24"/>
          <w:shd w:val="clear" w:color="auto" w:fill="FFFFFF"/>
          <w:lang w:eastAsia="en-AU"/>
          <w14:ligatures w14:val="none"/>
        </w:rPr>
        <w:t>et al.</w:t>
      </w:r>
      <w:r w:rsidRPr="00810C3E">
        <w:rPr>
          <w:rFonts w:eastAsia="Times New Roman" w:cs="Segoe UI"/>
          <w:kern w:val="0"/>
          <w:szCs w:val="24"/>
          <w:shd w:val="clear" w:color="auto" w:fill="FFFFFF"/>
          <w:lang w:eastAsia="en-AU"/>
          <w14:ligatures w14:val="none"/>
        </w:rPr>
        <w:t> </w:t>
      </w:r>
      <w:r w:rsidR="006A1CA1" w:rsidRPr="00810C3E">
        <w:rPr>
          <w:rFonts w:eastAsia="Times New Roman" w:cs="Segoe UI"/>
          <w:kern w:val="0"/>
          <w:szCs w:val="24"/>
          <w:shd w:val="clear" w:color="auto" w:fill="FFFFFF"/>
          <w:lang w:eastAsia="en-AU"/>
          <w14:ligatures w14:val="none"/>
        </w:rPr>
        <w:t xml:space="preserve">(2023). </w:t>
      </w:r>
      <w:r w:rsidRPr="00810C3E">
        <w:rPr>
          <w:rFonts w:eastAsia="Times New Roman" w:cs="Segoe UI"/>
          <w:kern w:val="0"/>
          <w:szCs w:val="24"/>
          <w:shd w:val="clear" w:color="auto" w:fill="FFFFFF"/>
          <w:lang w:eastAsia="en-AU"/>
          <w14:ligatures w14:val="none"/>
        </w:rPr>
        <w:t xml:space="preserve">The primacy of morphology in English braille spelling: </w:t>
      </w:r>
      <w:r w:rsidR="006A1CA1" w:rsidRPr="00810C3E">
        <w:rPr>
          <w:rFonts w:eastAsia="Times New Roman" w:cs="Segoe UI"/>
          <w:kern w:val="0"/>
          <w:szCs w:val="24"/>
          <w:shd w:val="clear" w:color="auto" w:fill="FFFFFF"/>
          <w:lang w:eastAsia="en-AU"/>
          <w14:ligatures w14:val="none"/>
        </w:rPr>
        <w:t>A</w:t>
      </w:r>
      <w:r w:rsidRPr="00810C3E">
        <w:rPr>
          <w:rFonts w:eastAsia="Times New Roman" w:cs="Segoe UI"/>
          <w:kern w:val="0"/>
          <w:szCs w:val="24"/>
          <w:shd w:val="clear" w:color="auto" w:fill="FFFFFF"/>
          <w:lang w:eastAsia="en-AU"/>
          <w14:ligatures w14:val="none"/>
        </w:rPr>
        <w:t>n analysis of bridging contractions. </w:t>
      </w:r>
      <w:r w:rsidR="00380FBF" w:rsidRPr="00810C3E">
        <w:rPr>
          <w:rFonts w:eastAsia="Times New Roman" w:cs="Segoe UI"/>
          <w:kern w:val="0"/>
          <w:szCs w:val="24"/>
          <w:shd w:val="clear" w:color="auto" w:fill="FFFFFF"/>
          <w:lang w:eastAsia="en-AU"/>
          <w14:ligatures w14:val="none"/>
        </w:rPr>
        <w:t xml:space="preserve"> </w:t>
      </w:r>
      <w:r w:rsidR="00380FBF" w:rsidRPr="00810C3E">
        <w:rPr>
          <w:rFonts w:eastAsia="Times New Roman" w:cs="Segoe UI"/>
          <w:i/>
          <w:iCs/>
          <w:kern w:val="0"/>
          <w:szCs w:val="24"/>
          <w:shd w:val="clear" w:color="auto" w:fill="FFFFFF"/>
          <w:lang w:eastAsia="en-AU"/>
          <w14:ligatures w14:val="none"/>
        </w:rPr>
        <w:t>Morphology</w:t>
      </w:r>
      <w:r w:rsidR="00380FBF" w:rsidRPr="00810C3E">
        <w:rPr>
          <w:rFonts w:eastAsia="Times New Roman" w:cs="Segoe UI"/>
          <w:kern w:val="0"/>
          <w:szCs w:val="24"/>
          <w:shd w:val="clear" w:color="auto" w:fill="FFFFFF"/>
          <w:lang w:eastAsia="en-AU"/>
          <w14:ligatures w14:val="none"/>
        </w:rPr>
        <w:t>.</w:t>
      </w:r>
      <w:r w:rsidRPr="00810C3E">
        <w:rPr>
          <w:rFonts w:eastAsia="Times New Roman" w:cs="Segoe UI"/>
          <w:kern w:val="0"/>
          <w:szCs w:val="24"/>
          <w:shd w:val="clear" w:color="auto" w:fill="FFFFFF"/>
          <w:lang w:eastAsia="en-AU"/>
          <w14:ligatures w14:val="none"/>
        </w:rPr>
        <w:t xml:space="preserve"> </w:t>
      </w:r>
      <w:hyperlink r:id="rId11" w:tgtFrame="_blank" w:history="1">
        <w:r w:rsidRPr="00810C3E">
          <w:rPr>
            <w:rFonts w:eastAsia="Times New Roman" w:cs="Segoe UI"/>
            <w:kern w:val="0"/>
            <w:szCs w:val="24"/>
            <w:shd w:val="clear" w:color="auto" w:fill="FFFFFF"/>
            <w:lang w:eastAsia="en-AU"/>
            <w14:ligatures w14:val="none"/>
          </w:rPr>
          <w:t>https://doi.org/10.1007/s11525-023-09413-8</w:t>
        </w:r>
      </w:hyperlink>
      <w:r w:rsidRPr="00810C3E">
        <w:rPr>
          <w:rFonts w:eastAsia="Times New Roman" w:cs="Segoe UI"/>
          <w:kern w:val="0"/>
          <w:szCs w:val="24"/>
          <w:lang w:eastAsia="en-AU"/>
          <w14:ligatures w14:val="none"/>
        </w:rPr>
        <w:t> </w:t>
      </w:r>
    </w:p>
    <w:p w14:paraId="4FA491F2" w14:textId="5033FA72" w:rsidR="007C7AD4" w:rsidRPr="00810C3E" w:rsidRDefault="007C7AD4" w:rsidP="00810C3E">
      <w:pPr>
        <w:spacing w:after="0" w:line="360" w:lineRule="auto"/>
        <w:ind w:left="720" w:hanging="720"/>
        <w:textAlignment w:val="baseline"/>
        <w:rPr>
          <w:rFonts w:eastAsia="Times New Roman" w:cs="Segoe UI"/>
          <w:kern w:val="0"/>
          <w:szCs w:val="24"/>
          <w:lang w:eastAsia="en-AU"/>
          <w14:ligatures w14:val="none"/>
        </w:rPr>
      </w:pPr>
    </w:p>
    <w:p w14:paraId="5BFA36D1" w14:textId="2CD14E29" w:rsidR="00621466" w:rsidRPr="00810C3E" w:rsidRDefault="00621466" w:rsidP="00810C3E">
      <w:pPr>
        <w:spacing w:after="0" w:line="360" w:lineRule="auto"/>
        <w:ind w:left="720" w:hanging="720"/>
        <w:textAlignment w:val="baseline"/>
        <w:rPr>
          <w:lang w:eastAsia="en-AU"/>
        </w:rPr>
      </w:pPr>
      <w:r w:rsidRPr="00810C3E">
        <w:rPr>
          <w:lang w:eastAsia="en-AU"/>
        </w:rPr>
        <w:t xml:space="preserve">Fanshawe, </w:t>
      </w:r>
      <w:r w:rsidR="001702FE" w:rsidRPr="00810C3E">
        <w:rPr>
          <w:lang w:eastAsia="en-AU"/>
        </w:rPr>
        <w:t>M. (</w:t>
      </w:r>
      <w:r w:rsidRPr="00810C3E">
        <w:rPr>
          <w:lang w:eastAsia="en-AU"/>
        </w:rPr>
        <w:t>201</w:t>
      </w:r>
      <w:r w:rsidR="00810C3E">
        <w:rPr>
          <w:lang w:eastAsia="en-AU"/>
        </w:rPr>
        <w:t>7</w:t>
      </w:r>
      <w:r w:rsidR="001702FE" w:rsidRPr="00810C3E">
        <w:rPr>
          <w:lang w:eastAsia="en-AU"/>
        </w:rPr>
        <w:t>)</w:t>
      </w:r>
      <w:r w:rsidR="00810C3E">
        <w:rPr>
          <w:lang w:eastAsia="en-AU"/>
        </w:rPr>
        <w:t xml:space="preserve">. </w:t>
      </w:r>
      <w:r w:rsidR="00810C3E" w:rsidRPr="00810C3E">
        <w:rPr>
          <w:rFonts w:cs="Arial"/>
          <w:color w:val="222222"/>
          <w:szCs w:val="24"/>
          <w:shd w:val="clear" w:color="auto" w:fill="FFFFFF"/>
        </w:rPr>
        <w:t>Lighting the way through the home: development of early braille literacy. In </w:t>
      </w:r>
      <w:r w:rsidR="00810C3E" w:rsidRPr="00810C3E">
        <w:rPr>
          <w:rFonts w:cs="Arial"/>
          <w:i/>
          <w:iCs/>
          <w:color w:val="222222"/>
          <w:szCs w:val="24"/>
          <w:shd w:val="clear" w:color="auto" w:fill="FFFFFF"/>
        </w:rPr>
        <w:t>Proceedings of the 2017 Biennial SPEVI Conference: Shining the Light on Vision Education</w:t>
      </w:r>
      <w:r w:rsidR="00810C3E" w:rsidRPr="00810C3E">
        <w:rPr>
          <w:rFonts w:cs="Arial"/>
          <w:color w:val="222222"/>
          <w:szCs w:val="24"/>
          <w:shd w:val="clear" w:color="auto" w:fill="FFFFFF"/>
        </w:rPr>
        <w:t xml:space="preserve">. </w:t>
      </w:r>
    </w:p>
    <w:p w14:paraId="4617C6DE" w14:textId="19350D8A" w:rsidR="00621466" w:rsidRPr="00810C3E" w:rsidRDefault="00621466" w:rsidP="00810C3E">
      <w:pPr>
        <w:spacing w:after="0" w:line="360" w:lineRule="auto"/>
        <w:ind w:left="720" w:hanging="720"/>
        <w:textAlignment w:val="baseline"/>
        <w:rPr>
          <w:rFonts w:eastAsia="Times New Roman" w:cs="Segoe UI"/>
          <w:kern w:val="0"/>
          <w:szCs w:val="24"/>
          <w:lang w:eastAsia="en-AU"/>
          <w14:ligatures w14:val="none"/>
        </w:rPr>
      </w:pPr>
    </w:p>
    <w:p w14:paraId="11423CBF" w14:textId="1D621F27" w:rsidR="00380FBF" w:rsidRPr="00810C3E" w:rsidRDefault="00810C3E" w:rsidP="00810C3E">
      <w:pPr>
        <w:spacing w:after="0" w:line="360" w:lineRule="auto"/>
        <w:ind w:left="720" w:hanging="720"/>
        <w:textAlignment w:val="baseline"/>
        <w:rPr>
          <w:rFonts w:eastAsia="Times New Roman" w:cs="Segoe UI"/>
          <w:kern w:val="0"/>
          <w:szCs w:val="24"/>
          <w:lang w:eastAsia="en-AU"/>
          <w14:ligatures w14:val="none"/>
        </w:rPr>
      </w:pPr>
      <w:r>
        <w:rPr>
          <w:rFonts w:cs="Arial"/>
          <w:color w:val="222222"/>
          <w:szCs w:val="24"/>
          <w:shd w:val="clear" w:color="auto" w:fill="FFFFFF"/>
        </w:rPr>
        <w:t>F</w:t>
      </w:r>
      <w:r w:rsidRPr="00810C3E">
        <w:rPr>
          <w:rFonts w:cs="Arial"/>
          <w:color w:val="222222"/>
          <w:szCs w:val="24"/>
          <w:shd w:val="clear" w:color="auto" w:fill="FFFFFF"/>
        </w:rPr>
        <w:t>anshawe, M. (2022). </w:t>
      </w:r>
      <w:r w:rsidRPr="00810C3E">
        <w:rPr>
          <w:rFonts w:cs="Arial"/>
          <w:i/>
          <w:iCs/>
          <w:color w:val="222222"/>
          <w:szCs w:val="24"/>
          <w:shd w:val="clear" w:color="auto" w:fill="FFFFFF"/>
        </w:rPr>
        <w:t>Barriers and enablers to participation in learning and future employability for students with blindness and low vision in Australian mainstream secondary schools: A bioecological systems perspective</w:t>
      </w:r>
      <w:r w:rsidRPr="00810C3E">
        <w:rPr>
          <w:rFonts w:cs="Arial"/>
          <w:color w:val="222222"/>
          <w:szCs w:val="24"/>
          <w:shd w:val="clear" w:color="auto" w:fill="FFFFFF"/>
        </w:rPr>
        <w:t> (Doctoral dissertation, University of Southern Queensland).</w:t>
      </w:r>
    </w:p>
    <w:p w14:paraId="1633964C" w14:textId="7BD174B8" w:rsidR="00EB6727" w:rsidRPr="00810C3E" w:rsidRDefault="007C27C6" w:rsidP="00810C3E">
      <w:pPr>
        <w:spacing w:line="360" w:lineRule="auto"/>
        <w:contextualSpacing/>
        <w:rPr>
          <w:i/>
          <w:iCs/>
          <w:lang w:eastAsia="en-AU"/>
        </w:rPr>
      </w:pPr>
      <w:r w:rsidRPr="008B5A56">
        <w:rPr>
          <w:lang w:val="nl-NL" w:eastAsia="en-AU"/>
        </w:rPr>
        <w:t>Koenig, A</w:t>
      </w:r>
      <w:r w:rsidR="003130C6" w:rsidRPr="008B5A56">
        <w:rPr>
          <w:lang w:val="nl-NL" w:eastAsia="en-AU"/>
        </w:rPr>
        <w:t>.</w:t>
      </w:r>
      <w:r w:rsidRPr="008B5A56">
        <w:rPr>
          <w:lang w:val="nl-NL" w:eastAsia="en-AU"/>
        </w:rPr>
        <w:t xml:space="preserve"> J &amp; Holbrook, M. C</w:t>
      </w:r>
      <w:r w:rsidR="003130C6" w:rsidRPr="008B5A56">
        <w:rPr>
          <w:lang w:val="nl-NL" w:eastAsia="en-AU"/>
        </w:rPr>
        <w:t xml:space="preserve">. (1995). </w:t>
      </w:r>
      <w:r w:rsidRPr="00810C3E">
        <w:rPr>
          <w:i/>
          <w:iCs/>
          <w:lang w:eastAsia="en-AU"/>
        </w:rPr>
        <w:t xml:space="preserve">Learning </w:t>
      </w:r>
      <w:r w:rsidR="00EB6727" w:rsidRPr="00810C3E">
        <w:rPr>
          <w:i/>
          <w:iCs/>
          <w:lang w:eastAsia="en-AU"/>
        </w:rPr>
        <w:t>m</w:t>
      </w:r>
      <w:r w:rsidRPr="00810C3E">
        <w:rPr>
          <w:i/>
          <w:iCs/>
          <w:lang w:eastAsia="en-AU"/>
        </w:rPr>
        <w:t xml:space="preserve">edia </w:t>
      </w:r>
      <w:r w:rsidR="00EB6727" w:rsidRPr="00810C3E">
        <w:rPr>
          <w:i/>
          <w:iCs/>
          <w:lang w:eastAsia="en-AU"/>
        </w:rPr>
        <w:t>a</w:t>
      </w:r>
      <w:r w:rsidRPr="00810C3E">
        <w:rPr>
          <w:i/>
          <w:iCs/>
          <w:lang w:eastAsia="en-AU"/>
        </w:rPr>
        <w:t xml:space="preserve">ssessment of </w:t>
      </w:r>
    </w:p>
    <w:p w14:paraId="55B949BF" w14:textId="1F0CD552" w:rsidR="007C27C6" w:rsidRPr="00810C3E" w:rsidRDefault="00EB6727" w:rsidP="00810C3E">
      <w:pPr>
        <w:spacing w:line="360" w:lineRule="auto"/>
        <w:ind w:left="720"/>
        <w:rPr>
          <w:lang w:eastAsia="en-AU"/>
        </w:rPr>
      </w:pPr>
      <w:r w:rsidRPr="00810C3E">
        <w:rPr>
          <w:i/>
          <w:iCs/>
          <w:lang w:eastAsia="en-AU"/>
        </w:rPr>
        <w:t>s</w:t>
      </w:r>
      <w:r w:rsidR="007C27C6" w:rsidRPr="00810C3E">
        <w:rPr>
          <w:i/>
          <w:iCs/>
          <w:lang w:eastAsia="en-AU"/>
        </w:rPr>
        <w:t xml:space="preserve">tudents with </w:t>
      </w:r>
      <w:r w:rsidRPr="00810C3E">
        <w:rPr>
          <w:i/>
          <w:iCs/>
          <w:lang w:eastAsia="en-AU"/>
        </w:rPr>
        <w:t>v</w:t>
      </w:r>
      <w:r w:rsidR="007C27C6" w:rsidRPr="00810C3E">
        <w:rPr>
          <w:i/>
          <w:iCs/>
          <w:lang w:eastAsia="en-AU"/>
        </w:rPr>
        <w:t xml:space="preserve">isual </w:t>
      </w:r>
      <w:r w:rsidRPr="00810C3E">
        <w:rPr>
          <w:i/>
          <w:iCs/>
          <w:lang w:eastAsia="en-AU"/>
        </w:rPr>
        <w:t>i</w:t>
      </w:r>
      <w:r w:rsidR="007C27C6" w:rsidRPr="00810C3E">
        <w:rPr>
          <w:i/>
          <w:iCs/>
          <w:lang w:eastAsia="en-AU"/>
        </w:rPr>
        <w:t xml:space="preserve">mpairments: A </w:t>
      </w:r>
      <w:r w:rsidRPr="00810C3E">
        <w:rPr>
          <w:i/>
          <w:iCs/>
          <w:lang w:eastAsia="en-AU"/>
        </w:rPr>
        <w:t>r</w:t>
      </w:r>
      <w:r w:rsidR="007C27C6" w:rsidRPr="00810C3E">
        <w:rPr>
          <w:i/>
          <w:iCs/>
          <w:lang w:eastAsia="en-AU"/>
        </w:rPr>
        <w:t xml:space="preserve">esource </w:t>
      </w:r>
      <w:r w:rsidRPr="00810C3E">
        <w:rPr>
          <w:i/>
          <w:iCs/>
          <w:lang w:eastAsia="en-AU"/>
        </w:rPr>
        <w:t>g</w:t>
      </w:r>
      <w:r w:rsidR="007C27C6" w:rsidRPr="00810C3E">
        <w:rPr>
          <w:i/>
          <w:iCs/>
          <w:lang w:eastAsia="en-AU"/>
        </w:rPr>
        <w:t xml:space="preserve">uide for </w:t>
      </w:r>
      <w:r w:rsidRPr="00810C3E">
        <w:rPr>
          <w:i/>
          <w:iCs/>
          <w:lang w:eastAsia="en-AU"/>
        </w:rPr>
        <w:t>t</w:t>
      </w:r>
      <w:r w:rsidR="007C27C6" w:rsidRPr="00810C3E">
        <w:rPr>
          <w:i/>
          <w:iCs/>
          <w:lang w:eastAsia="en-AU"/>
        </w:rPr>
        <w:t>eachers</w:t>
      </w:r>
      <w:r w:rsidR="007C27C6" w:rsidRPr="00810C3E">
        <w:rPr>
          <w:lang w:eastAsia="en-AU"/>
        </w:rPr>
        <w:t xml:space="preserve">. </w:t>
      </w:r>
      <w:r w:rsidRPr="00810C3E">
        <w:rPr>
          <w:lang w:eastAsia="en-AU"/>
        </w:rPr>
        <w:t>(2</w:t>
      </w:r>
      <w:r w:rsidRPr="00810C3E">
        <w:rPr>
          <w:vertAlign w:val="superscript"/>
          <w:lang w:eastAsia="en-AU"/>
        </w:rPr>
        <w:t>nd</w:t>
      </w:r>
      <w:r w:rsidRPr="00810C3E">
        <w:rPr>
          <w:lang w:eastAsia="en-AU"/>
        </w:rPr>
        <w:t xml:space="preserve"> ed.). Texas School for the </w:t>
      </w:r>
      <w:r w:rsidRPr="00810C3E">
        <w:rPr>
          <w:rFonts w:eastAsia="Times New Roman" w:cs="Segoe UI"/>
          <w:kern w:val="0"/>
          <w:szCs w:val="24"/>
          <w:lang w:eastAsia="en-AU"/>
          <w14:ligatures w14:val="none"/>
        </w:rPr>
        <w:t xml:space="preserve">Texas School for the Blind and Visually Impaired and Texas Tech University. </w:t>
      </w:r>
      <w:r w:rsidR="007C27C6" w:rsidRPr="00810C3E">
        <w:rPr>
          <w:lang w:eastAsia="en-AU"/>
        </w:rPr>
        <w:t>https://eric.ed.gov/?id=ED440492</w:t>
      </w:r>
    </w:p>
    <w:p w14:paraId="2FEC362B" w14:textId="77777777" w:rsidR="00EB6727" w:rsidRPr="00810C3E" w:rsidRDefault="005A2C7E" w:rsidP="00810C3E">
      <w:pPr>
        <w:spacing w:line="360" w:lineRule="auto"/>
        <w:contextualSpacing/>
        <w:rPr>
          <w:lang w:eastAsia="en-AU"/>
        </w:rPr>
      </w:pPr>
      <w:r w:rsidRPr="008B5A56">
        <w:rPr>
          <w:lang w:val="nl-NL" w:eastAsia="en-AU"/>
        </w:rPr>
        <w:t xml:space="preserve">Koenig, A. J., &amp; Holbrook, M. C. (2000). </w:t>
      </w:r>
      <w:r w:rsidRPr="00810C3E">
        <w:rPr>
          <w:lang w:eastAsia="en-AU"/>
        </w:rPr>
        <w:t xml:space="preserve">Ensuring High-Quality Instruction for </w:t>
      </w:r>
    </w:p>
    <w:p w14:paraId="6DE05F5D" w14:textId="15D85087" w:rsidR="005A2C7E" w:rsidRPr="00810C3E" w:rsidRDefault="005A2C7E" w:rsidP="00810C3E">
      <w:pPr>
        <w:spacing w:line="360" w:lineRule="auto"/>
        <w:ind w:left="720"/>
        <w:rPr>
          <w:lang w:eastAsia="en-AU"/>
        </w:rPr>
      </w:pPr>
      <w:r w:rsidRPr="00810C3E">
        <w:rPr>
          <w:lang w:eastAsia="en-AU"/>
        </w:rPr>
        <w:t>Students in Braille Literacy Programs. </w:t>
      </w:r>
      <w:r w:rsidRPr="00810C3E">
        <w:rPr>
          <w:i/>
          <w:iCs/>
          <w:lang w:eastAsia="en-AU"/>
        </w:rPr>
        <w:t>Journal of Visual Impairment &amp; Blindness</w:t>
      </w:r>
      <w:r w:rsidRPr="00810C3E">
        <w:rPr>
          <w:lang w:eastAsia="en-AU"/>
        </w:rPr>
        <w:t>, </w:t>
      </w:r>
      <w:r w:rsidR="00EB6727" w:rsidRPr="00810C3E">
        <w:rPr>
          <w:i/>
          <w:iCs/>
          <w:lang w:eastAsia="en-AU"/>
        </w:rPr>
        <w:t>94</w:t>
      </w:r>
      <w:r w:rsidR="00EB6727" w:rsidRPr="00810C3E">
        <w:rPr>
          <w:lang w:eastAsia="en-AU"/>
        </w:rPr>
        <w:t xml:space="preserve">(11), 677-694.  </w:t>
      </w:r>
      <w:hyperlink r:id="rId12" w:tgtFrame="_blank" w:history="1">
        <w:r w:rsidRPr="00810C3E">
          <w:rPr>
            <w:lang w:eastAsia="en-AU"/>
          </w:rPr>
          <w:t>https://doi.org/10.1177/0145482X0009401102</w:t>
        </w:r>
      </w:hyperlink>
      <w:r w:rsidRPr="00810C3E">
        <w:rPr>
          <w:lang w:eastAsia="en-AU"/>
        </w:rPr>
        <w:t> </w:t>
      </w:r>
    </w:p>
    <w:p w14:paraId="3EBEA3FD" w14:textId="0212C126" w:rsidR="008A1AF9" w:rsidRPr="00810C3E" w:rsidRDefault="008A1AF9" w:rsidP="00810C3E">
      <w:pPr>
        <w:spacing w:after="0" w:line="360" w:lineRule="auto"/>
        <w:ind w:left="720" w:hanging="720"/>
        <w:textAlignment w:val="baseline"/>
        <w:rPr>
          <w:lang w:eastAsia="en-AU"/>
        </w:rPr>
      </w:pPr>
      <w:r w:rsidRPr="00810C3E">
        <w:rPr>
          <w:lang w:eastAsia="en-AU"/>
        </w:rPr>
        <w:t>Organisation for Economic Cooperation and Development (</w:t>
      </w:r>
      <w:r w:rsidR="005A2C7E" w:rsidRPr="00810C3E">
        <w:rPr>
          <w:lang w:eastAsia="en-AU"/>
        </w:rPr>
        <w:t>OECD</w:t>
      </w:r>
      <w:r w:rsidRPr="00810C3E">
        <w:rPr>
          <w:lang w:eastAsia="en-AU"/>
        </w:rPr>
        <w:t xml:space="preserve">). </w:t>
      </w:r>
    </w:p>
    <w:p w14:paraId="608CFE3C" w14:textId="1D4406D7" w:rsidR="005A2C7E" w:rsidRPr="00810C3E" w:rsidRDefault="005A2C7E" w:rsidP="00810C3E">
      <w:pPr>
        <w:spacing w:line="360" w:lineRule="auto"/>
        <w:ind w:left="720"/>
        <w:rPr>
          <w:rFonts w:eastAsia="Times New Roman" w:cs="Segoe UI"/>
          <w:kern w:val="0"/>
          <w:szCs w:val="24"/>
          <w:lang w:eastAsia="en-AU"/>
          <w14:ligatures w14:val="none"/>
        </w:rPr>
      </w:pPr>
      <w:r w:rsidRPr="00810C3E">
        <w:rPr>
          <w:lang w:eastAsia="en-AU"/>
        </w:rPr>
        <w:t>(2010)</w:t>
      </w:r>
      <w:r w:rsidR="008A1AF9" w:rsidRPr="00810C3E">
        <w:rPr>
          <w:lang w:eastAsia="en-AU"/>
        </w:rPr>
        <w:t>.</w:t>
      </w:r>
      <w:r w:rsidRPr="00810C3E">
        <w:rPr>
          <w:lang w:eastAsia="en-AU"/>
        </w:rPr>
        <w:t> </w:t>
      </w:r>
      <w:r w:rsidRPr="00810C3E">
        <w:rPr>
          <w:i/>
          <w:iCs/>
          <w:lang w:eastAsia="en-AU"/>
        </w:rPr>
        <w:t xml:space="preserve">PISA 2009 Results: What </w:t>
      </w:r>
      <w:r w:rsidR="008A1AF9" w:rsidRPr="00810C3E">
        <w:rPr>
          <w:i/>
          <w:iCs/>
          <w:lang w:eastAsia="en-AU"/>
        </w:rPr>
        <w:t>s</w:t>
      </w:r>
      <w:r w:rsidRPr="00810C3E">
        <w:rPr>
          <w:i/>
          <w:iCs/>
          <w:lang w:eastAsia="en-AU"/>
        </w:rPr>
        <w:t xml:space="preserve">tudents </w:t>
      </w:r>
      <w:r w:rsidR="008A1AF9" w:rsidRPr="00810C3E">
        <w:rPr>
          <w:i/>
          <w:iCs/>
          <w:lang w:eastAsia="en-AU"/>
        </w:rPr>
        <w:t>k</w:t>
      </w:r>
      <w:r w:rsidRPr="00810C3E">
        <w:rPr>
          <w:i/>
          <w:iCs/>
          <w:lang w:eastAsia="en-AU"/>
        </w:rPr>
        <w:t xml:space="preserve">now and </w:t>
      </w:r>
      <w:r w:rsidR="008A1AF9" w:rsidRPr="00810C3E">
        <w:rPr>
          <w:i/>
          <w:iCs/>
          <w:lang w:eastAsia="en-AU"/>
        </w:rPr>
        <w:t>c</w:t>
      </w:r>
      <w:r w:rsidRPr="00810C3E">
        <w:rPr>
          <w:i/>
          <w:iCs/>
          <w:lang w:eastAsia="en-AU"/>
        </w:rPr>
        <w:t xml:space="preserve">an </w:t>
      </w:r>
      <w:r w:rsidR="008A1AF9" w:rsidRPr="00810C3E">
        <w:rPr>
          <w:i/>
          <w:iCs/>
          <w:lang w:eastAsia="en-AU"/>
        </w:rPr>
        <w:t>d</w:t>
      </w:r>
      <w:r w:rsidRPr="00810C3E">
        <w:rPr>
          <w:i/>
          <w:iCs/>
          <w:lang w:eastAsia="en-AU"/>
        </w:rPr>
        <w:t xml:space="preserve">o: Student </w:t>
      </w:r>
      <w:r w:rsidR="008A1AF9" w:rsidRPr="00810C3E">
        <w:rPr>
          <w:i/>
          <w:iCs/>
          <w:lang w:eastAsia="en-AU"/>
        </w:rPr>
        <w:t>p</w:t>
      </w:r>
      <w:r w:rsidRPr="00810C3E">
        <w:rPr>
          <w:i/>
          <w:iCs/>
          <w:lang w:eastAsia="en-AU"/>
        </w:rPr>
        <w:t xml:space="preserve">erformance in </w:t>
      </w:r>
      <w:r w:rsidR="008A1AF9" w:rsidRPr="00810C3E">
        <w:rPr>
          <w:i/>
          <w:iCs/>
          <w:lang w:eastAsia="en-AU"/>
        </w:rPr>
        <w:t>r</w:t>
      </w:r>
      <w:r w:rsidRPr="00810C3E">
        <w:rPr>
          <w:i/>
          <w:iCs/>
          <w:lang w:eastAsia="en-AU"/>
        </w:rPr>
        <w:t xml:space="preserve">eading, </w:t>
      </w:r>
      <w:r w:rsidR="008A1AF9" w:rsidRPr="00810C3E">
        <w:rPr>
          <w:i/>
          <w:iCs/>
          <w:lang w:eastAsia="en-AU"/>
        </w:rPr>
        <w:t>m</w:t>
      </w:r>
      <w:r w:rsidRPr="00810C3E">
        <w:rPr>
          <w:i/>
          <w:iCs/>
          <w:lang w:eastAsia="en-AU"/>
        </w:rPr>
        <w:t xml:space="preserve">athematics and </w:t>
      </w:r>
      <w:r w:rsidR="008A1AF9" w:rsidRPr="00810C3E">
        <w:rPr>
          <w:i/>
          <w:iCs/>
          <w:lang w:eastAsia="en-AU"/>
        </w:rPr>
        <w:t>s</w:t>
      </w:r>
      <w:r w:rsidRPr="00810C3E">
        <w:rPr>
          <w:i/>
          <w:iCs/>
          <w:lang w:eastAsia="en-AU"/>
        </w:rPr>
        <w:t>cience</w:t>
      </w:r>
      <w:r w:rsidRPr="00810C3E">
        <w:rPr>
          <w:lang w:eastAsia="en-AU"/>
        </w:rPr>
        <w:t xml:space="preserve"> (Volume I)</w:t>
      </w:r>
      <w:r w:rsidR="005D64C6" w:rsidRPr="00810C3E">
        <w:rPr>
          <w:lang w:eastAsia="en-AU"/>
        </w:rPr>
        <w:t>.</w:t>
      </w:r>
      <w:r w:rsidRPr="00810C3E">
        <w:rPr>
          <w:lang w:eastAsia="en-AU"/>
        </w:rPr>
        <w:t xml:space="preserve"> PISA, OECD Publishing, Paris</w:t>
      </w:r>
      <w:r w:rsidR="008A1AF9" w:rsidRPr="00810C3E">
        <w:rPr>
          <w:lang w:eastAsia="en-AU"/>
        </w:rPr>
        <w:t>.</w:t>
      </w:r>
      <w:r w:rsidRPr="00810C3E">
        <w:rPr>
          <w:lang w:eastAsia="en-AU"/>
        </w:rPr>
        <w:t> </w:t>
      </w:r>
      <w:hyperlink r:id="rId13" w:history="1">
        <w:r w:rsidR="008A1AF9" w:rsidRPr="00810C3E">
          <w:rPr>
            <w:rStyle w:val="Hyperlink"/>
            <w:rFonts w:eastAsia="Times New Roman" w:cs="Segoe UI"/>
            <w:kern w:val="0"/>
            <w:szCs w:val="24"/>
            <w:lang w:eastAsia="en-AU"/>
            <w14:ligatures w14:val="none"/>
          </w:rPr>
          <w:t>https://doi.org/10.1787/9789264091450-en</w:t>
        </w:r>
      </w:hyperlink>
      <w:r w:rsidRPr="00810C3E">
        <w:rPr>
          <w:rFonts w:eastAsia="Times New Roman" w:cs="Segoe UI"/>
          <w:kern w:val="0"/>
          <w:szCs w:val="24"/>
          <w:lang w:eastAsia="en-AU"/>
          <w14:ligatures w14:val="none"/>
        </w:rPr>
        <w:t>. </w:t>
      </w:r>
    </w:p>
    <w:p w14:paraId="2502D8DD" w14:textId="71C927E4" w:rsidR="0024758D" w:rsidRPr="00810C3E" w:rsidRDefault="002933C0" w:rsidP="00810C3E">
      <w:pPr>
        <w:spacing w:line="360" w:lineRule="auto"/>
        <w:contextualSpacing/>
        <w:rPr>
          <w:i/>
        </w:rPr>
      </w:pPr>
      <w:r w:rsidRPr="00810C3E">
        <w:t xml:space="preserve">South Pacific Educators in Vision Impairment. (2016). </w:t>
      </w:r>
      <w:r w:rsidRPr="00810C3E">
        <w:rPr>
          <w:i/>
        </w:rPr>
        <w:t xml:space="preserve">Professional standards </w:t>
      </w:r>
    </w:p>
    <w:p w14:paraId="3D11F556" w14:textId="1DF04139" w:rsidR="002933C0" w:rsidRPr="00810C3E" w:rsidRDefault="002933C0" w:rsidP="00810C3E">
      <w:pPr>
        <w:spacing w:line="360" w:lineRule="auto"/>
        <w:ind w:left="720"/>
        <w:rPr>
          <w:iCs/>
        </w:rPr>
      </w:pPr>
      <w:r w:rsidRPr="00810C3E">
        <w:rPr>
          <w:i/>
        </w:rPr>
        <w:t>elaborations for specialist teachers (vision impairment, Career stages (2</w:t>
      </w:r>
      <w:r w:rsidRPr="00810C3E">
        <w:rPr>
          <w:i/>
          <w:vertAlign w:val="superscript"/>
        </w:rPr>
        <w:t>nd</w:t>
      </w:r>
      <w:r w:rsidRPr="00810C3E">
        <w:rPr>
          <w:i/>
        </w:rPr>
        <w:t xml:space="preserve"> ed.).</w:t>
      </w:r>
      <w:r w:rsidRPr="00810C3E">
        <w:rPr>
          <w:iCs/>
        </w:rPr>
        <w:t xml:space="preserve"> </w:t>
      </w:r>
      <w:hyperlink r:id="rId14" w:history="1">
        <w:r w:rsidRPr="00810C3E">
          <w:rPr>
            <w:rStyle w:val="Hyperlink"/>
            <w:rFonts w:cs="Arial"/>
            <w:iCs/>
            <w:szCs w:val="24"/>
          </w:rPr>
          <w:t>https://www.spevi.net/professional-standards-elaborations/</w:t>
        </w:r>
      </w:hyperlink>
      <w:r w:rsidRPr="00810C3E">
        <w:rPr>
          <w:iCs/>
        </w:rPr>
        <w:t xml:space="preserve">. </w:t>
      </w:r>
    </w:p>
    <w:p w14:paraId="5C973EE2" w14:textId="58A67653" w:rsidR="001F54FE" w:rsidRPr="00810C3E" w:rsidRDefault="005A2C7E" w:rsidP="00810C3E">
      <w:pPr>
        <w:spacing w:after="0" w:line="360" w:lineRule="auto"/>
        <w:ind w:left="720" w:hanging="720"/>
        <w:textAlignment w:val="baseline"/>
        <w:rPr>
          <w:rFonts w:eastAsia="Times New Roman" w:cs="Segoe UI"/>
          <w:kern w:val="0"/>
          <w:szCs w:val="24"/>
          <w:lang w:eastAsia="en-AU"/>
          <w14:ligatures w14:val="none"/>
        </w:rPr>
      </w:pPr>
      <w:r w:rsidRPr="00810C3E">
        <w:rPr>
          <w:rFonts w:eastAsia="Times New Roman" w:cs="Segoe UI"/>
          <w:kern w:val="0"/>
          <w:szCs w:val="24"/>
          <w:lang w:eastAsia="en-AU"/>
          <w14:ligatures w14:val="none"/>
        </w:rPr>
        <w:t> </w:t>
      </w:r>
      <w:r w:rsidR="001F54FE" w:rsidRPr="00810C3E">
        <w:rPr>
          <w:lang w:eastAsia="en-AU"/>
        </w:rPr>
        <w:t xml:space="preserve">UNESCO (2024, January 31) </w:t>
      </w:r>
      <w:r w:rsidR="001F54FE" w:rsidRPr="00810C3E">
        <w:rPr>
          <w:i/>
          <w:lang w:eastAsia="en-AU"/>
        </w:rPr>
        <w:t>What you need to know about literacy</w:t>
      </w:r>
      <w:r w:rsidR="001F54FE" w:rsidRPr="00810C3E">
        <w:rPr>
          <w:lang w:eastAsia="en-AU"/>
        </w:rPr>
        <w:t xml:space="preserve">. </w:t>
      </w:r>
      <w:hyperlink r:id="rId15" w:history="1">
        <w:r w:rsidR="001F54FE" w:rsidRPr="00810C3E">
          <w:rPr>
            <w:rStyle w:val="Hyperlink"/>
            <w:lang w:eastAsia="en-AU"/>
          </w:rPr>
          <w:t>https:///www.unesco.org/en/literacy/need-know</w:t>
        </w:r>
      </w:hyperlink>
      <w:r w:rsidR="001F54FE" w:rsidRPr="00810C3E">
        <w:rPr>
          <w:lang w:eastAsia="en-AU"/>
        </w:rPr>
        <w:t xml:space="preserve">   </w:t>
      </w:r>
    </w:p>
    <w:p w14:paraId="488E44DC" w14:textId="3154419D" w:rsidR="0024758D" w:rsidRPr="00810C3E" w:rsidRDefault="005A2C7E" w:rsidP="00810C3E">
      <w:pPr>
        <w:spacing w:line="360" w:lineRule="auto"/>
        <w:rPr>
          <w:lang w:eastAsia="en-AU"/>
        </w:rPr>
      </w:pPr>
      <w:r w:rsidRPr="00810C3E">
        <w:rPr>
          <w:lang w:eastAsia="en-AU"/>
        </w:rPr>
        <w:t>United Nations. (2006). Convention on the Rights of Persons with</w:t>
      </w:r>
    </w:p>
    <w:p w14:paraId="6435B78E" w14:textId="01FB94C9" w:rsidR="005A2C7E" w:rsidRPr="00810C3E" w:rsidRDefault="005A2C7E" w:rsidP="00810C3E">
      <w:pPr>
        <w:spacing w:line="360" w:lineRule="auto"/>
        <w:ind w:left="720"/>
        <w:contextualSpacing/>
        <w:rPr>
          <w:lang w:eastAsia="en-AU"/>
        </w:rPr>
      </w:pPr>
      <w:r w:rsidRPr="00810C3E">
        <w:rPr>
          <w:lang w:eastAsia="en-AU"/>
        </w:rPr>
        <w:t xml:space="preserve">Disabilities. </w:t>
      </w:r>
      <w:hyperlink r:id="rId16" w:history="1">
        <w:r w:rsidR="0024758D" w:rsidRPr="00810C3E">
          <w:rPr>
            <w:rStyle w:val="Hyperlink"/>
            <w:lang w:eastAsia="en-AU"/>
          </w:rPr>
          <w:t>https://www.un.org/disabilities/documents/convention/convention_accessible_pdf.pd</w:t>
        </w:r>
      </w:hyperlink>
      <w:r w:rsidRPr="00810C3E">
        <w:rPr>
          <w:rFonts w:cs="Calibri"/>
          <w:lang w:eastAsia="en-AU"/>
        </w:rPr>
        <w:t> </w:t>
      </w:r>
    </w:p>
    <w:p w14:paraId="05B88CFF" w14:textId="40103385" w:rsidR="0024758D" w:rsidRPr="00810C3E" w:rsidRDefault="005A2C7E" w:rsidP="00810C3E">
      <w:pPr>
        <w:spacing w:line="360" w:lineRule="auto"/>
        <w:contextualSpacing/>
        <w:rPr>
          <w:i/>
          <w:iCs/>
          <w:lang w:eastAsia="en-AU"/>
        </w:rPr>
      </w:pPr>
      <w:r w:rsidRPr="00810C3E">
        <w:rPr>
          <w:lang w:eastAsia="en-AU"/>
        </w:rPr>
        <w:lastRenderedPageBreak/>
        <w:t>Winter, F. (2023</w:t>
      </w:r>
      <w:r w:rsidR="0024758D" w:rsidRPr="00810C3E">
        <w:rPr>
          <w:lang w:eastAsia="en-AU"/>
        </w:rPr>
        <w:t>, December 1</w:t>
      </w:r>
      <w:r w:rsidRPr="00810C3E">
        <w:rPr>
          <w:lang w:eastAsia="en-AU"/>
        </w:rPr>
        <w:t>)</w:t>
      </w:r>
      <w:r w:rsidR="0024758D" w:rsidRPr="00810C3E">
        <w:rPr>
          <w:lang w:eastAsia="en-AU"/>
        </w:rPr>
        <w:t>.</w:t>
      </w:r>
      <w:r w:rsidRPr="00810C3E">
        <w:rPr>
          <w:lang w:eastAsia="en-AU"/>
        </w:rPr>
        <w:t xml:space="preserve"> </w:t>
      </w:r>
      <w:r w:rsidRPr="00810C3E">
        <w:rPr>
          <w:i/>
          <w:iCs/>
          <w:lang w:eastAsia="en-AU"/>
        </w:rPr>
        <w:t xml:space="preserve">Individualized </w:t>
      </w:r>
      <w:r w:rsidR="0024758D" w:rsidRPr="00810C3E">
        <w:rPr>
          <w:i/>
          <w:iCs/>
          <w:lang w:eastAsia="en-AU"/>
        </w:rPr>
        <w:t>i</w:t>
      </w:r>
      <w:r w:rsidRPr="00810C3E">
        <w:rPr>
          <w:i/>
          <w:iCs/>
          <w:lang w:eastAsia="en-AU"/>
        </w:rPr>
        <w:t xml:space="preserve">nstruction for </w:t>
      </w:r>
      <w:r w:rsidR="0024758D" w:rsidRPr="00810C3E">
        <w:rPr>
          <w:i/>
          <w:iCs/>
          <w:lang w:eastAsia="en-AU"/>
        </w:rPr>
        <w:t>d</w:t>
      </w:r>
      <w:r w:rsidRPr="00810C3E">
        <w:rPr>
          <w:i/>
          <w:iCs/>
          <w:lang w:eastAsia="en-AU"/>
        </w:rPr>
        <w:t xml:space="preserve">ual </w:t>
      </w:r>
      <w:r w:rsidR="0024758D" w:rsidRPr="00810C3E">
        <w:rPr>
          <w:i/>
          <w:iCs/>
          <w:lang w:eastAsia="en-AU"/>
        </w:rPr>
        <w:t>m</w:t>
      </w:r>
      <w:r w:rsidRPr="00810C3E">
        <w:rPr>
          <w:i/>
          <w:iCs/>
          <w:lang w:eastAsia="en-AU"/>
        </w:rPr>
        <w:t xml:space="preserve">edia </w:t>
      </w:r>
    </w:p>
    <w:p w14:paraId="5F34A590" w14:textId="77777777" w:rsidR="0024758D" w:rsidRPr="00810C3E" w:rsidRDefault="0024758D" w:rsidP="00810C3E">
      <w:pPr>
        <w:spacing w:line="360" w:lineRule="auto"/>
        <w:ind w:left="720"/>
        <w:contextualSpacing/>
        <w:rPr>
          <w:lang w:eastAsia="en-AU"/>
        </w:rPr>
      </w:pPr>
      <w:r w:rsidRPr="00810C3E">
        <w:rPr>
          <w:i/>
          <w:iCs/>
          <w:lang w:eastAsia="en-AU"/>
        </w:rPr>
        <w:t>l</w:t>
      </w:r>
      <w:r w:rsidR="005A2C7E" w:rsidRPr="00810C3E">
        <w:rPr>
          <w:i/>
          <w:iCs/>
          <w:lang w:eastAsia="en-AU"/>
        </w:rPr>
        <w:t>earners</w:t>
      </w:r>
      <w:r w:rsidRPr="00810C3E">
        <w:rPr>
          <w:lang w:eastAsia="en-AU"/>
        </w:rPr>
        <w:t xml:space="preserve"> [Paper presentation]. </w:t>
      </w:r>
      <w:r w:rsidR="005A2C7E" w:rsidRPr="00810C3E">
        <w:rPr>
          <w:lang w:eastAsia="en-AU"/>
        </w:rPr>
        <w:t>Getting</w:t>
      </w:r>
      <w:r w:rsidRPr="00810C3E">
        <w:rPr>
          <w:lang w:eastAsia="en-AU"/>
        </w:rPr>
        <w:t xml:space="preserve"> </w:t>
      </w:r>
      <w:r w:rsidR="005A2C7E" w:rsidRPr="00810C3E">
        <w:rPr>
          <w:lang w:eastAsia="en-AU"/>
        </w:rPr>
        <w:t>in Touch with Literacy Conference, Florida. </w:t>
      </w:r>
    </w:p>
    <w:p w14:paraId="6AE9A2A4" w14:textId="044EF12C" w:rsidR="005A2C7E" w:rsidRPr="00810C3E" w:rsidRDefault="00000000" w:rsidP="00810C3E">
      <w:pPr>
        <w:spacing w:line="360" w:lineRule="auto"/>
        <w:ind w:left="720"/>
        <w:rPr>
          <w:lang w:eastAsia="en-AU"/>
        </w:rPr>
      </w:pPr>
      <w:hyperlink r:id="rId17" w:anchor="about" w:history="1">
        <w:r w:rsidR="0024758D" w:rsidRPr="00810C3E">
          <w:rPr>
            <w:rStyle w:val="Hyperlink"/>
            <w:lang w:eastAsia="en-AU"/>
          </w:rPr>
          <w:t>https://www.gettingintouchwithliteracy.org/#about</w:t>
        </w:r>
      </w:hyperlink>
      <w:r w:rsidR="0024758D" w:rsidRPr="00810C3E">
        <w:rPr>
          <w:lang w:eastAsia="en-AU"/>
        </w:rPr>
        <w:t xml:space="preserve"> </w:t>
      </w:r>
    </w:p>
    <w:p w14:paraId="7DCEDCB6" w14:textId="2EBCBAFF" w:rsidR="0024758D" w:rsidRPr="00810C3E" w:rsidRDefault="005A2C7E" w:rsidP="00810C3E">
      <w:pPr>
        <w:spacing w:after="0" w:line="360" w:lineRule="auto"/>
        <w:ind w:left="720" w:hanging="720"/>
        <w:textAlignment w:val="baseline"/>
      </w:pPr>
      <w:r w:rsidRPr="00810C3E">
        <w:rPr>
          <w:rFonts w:eastAsia="Times New Roman" w:cs="Segoe UI"/>
          <w:kern w:val="0"/>
          <w:szCs w:val="24"/>
          <w:lang w:eastAsia="en-AU"/>
          <w14:ligatures w14:val="none"/>
        </w:rPr>
        <w:t> </w:t>
      </w:r>
      <w:r w:rsidR="002933C0" w:rsidRPr="00810C3E">
        <w:t xml:space="preserve">World Blind Union and International Council for Education of People with </w:t>
      </w:r>
    </w:p>
    <w:p w14:paraId="42E08C9E" w14:textId="2F702F2F" w:rsidR="002933C0" w:rsidRPr="00810C3E" w:rsidRDefault="002933C0" w:rsidP="00810C3E">
      <w:pPr>
        <w:spacing w:line="360" w:lineRule="auto"/>
        <w:ind w:left="720"/>
      </w:pPr>
      <w:r w:rsidRPr="00810C3E">
        <w:t xml:space="preserve">Visual Impairment. (2016). </w:t>
      </w:r>
      <w:r w:rsidRPr="00810C3E">
        <w:rPr>
          <w:i/>
        </w:rPr>
        <w:t xml:space="preserve">WBU-ICEVI Joint position statement: Braille literacy. </w:t>
      </w:r>
      <w:hyperlink r:id="rId18" w:history="1">
        <w:r w:rsidRPr="00810C3E">
          <w:rPr>
            <w:rStyle w:val="Hyperlink"/>
            <w:rFonts w:cs="Arial"/>
            <w:iCs/>
            <w:szCs w:val="24"/>
          </w:rPr>
          <w:t>https://icevi.org/other-publications/</w:t>
        </w:r>
      </w:hyperlink>
      <w:bookmarkEnd w:id="1"/>
      <w:r w:rsidRPr="00810C3E">
        <w:rPr>
          <w:iCs/>
        </w:rPr>
        <w:t xml:space="preserve">. </w:t>
      </w:r>
    </w:p>
    <w:sectPr w:rsidR="002933C0" w:rsidRPr="00810C3E" w:rsidSect="005D5047">
      <w:pgSz w:w="12240" w:h="15840"/>
      <w:pgMar w:top="1276"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33B"/>
    <w:multiLevelType w:val="multilevel"/>
    <w:tmpl w:val="55726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B7ADD"/>
    <w:multiLevelType w:val="hybridMultilevel"/>
    <w:tmpl w:val="4DD8A5C8"/>
    <w:lvl w:ilvl="0" w:tplc="363C1C26">
      <w:start w:val="1"/>
      <w:numFmt w:val="bullet"/>
      <w:lvlText w:val=""/>
      <w:lvlJc w:val="left"/>
      <w:pPr>
        <w:ind w:left="2160" w:hanging="360"/>
      </w:pPr>
      <w:rPr>
        <w:rFonts w:ascii="Symbol" w:hAnsi="Symbol" w:hint="default"/>
      </w:rPr>
    </w:lvl>
    <w:lvl w:ilvl="1" w:tplc="4582F33A" w:tentative="1">
      <w:start w:val="1"/>
      <w:numFmt w:val="bullet"/>
      <w:lvlText w:val="o"/>
      <w:lvlJc w:val="left"/>
      <w:pPr>
        <w:ind w:left="2880" w:hanging="360"/>
      </w:pPr>
      <w:rPr>
        <w:rFonts w:ascii="Courier New" w:hAnsi="Courier New" w:cs="Courier New" w:hint="default"/>
      </w:rPr>
    </w:lvl>
    <w:lvl w:ilvl="2" w:tplc="B7C2247A" w:tentative="1">
      <w:start w:val="1"/>
      <w:numFmt w:val="bullet"/>
      <w:lvlText w:val=""/>
      <w:lvlJc w:val="left"/>
      <w:pPr>
        <w:ind w:left="3600" w:hanging="360"/>
      </w:pPr>
      <w:rPr>
        <w:rFonts w:ascii="Wingdings" w:hAnsi="Wingdings" w:hint="default"/>
      </w:rPr>
    </w:lvl>
    <w:lvl w:ilvl="3" w:tplc="A9C8E5A4" w:tentative="1">
      <w:start w:val="1"/>
      <w:numFmt w:val="bullet"/>
      <w:lvlText w:val=""/>
      <w:lvlJc w:val="left"/>
      <w:pPr>
        <w:ind w:left="4320" w:hanging="360"/>
      </w:pPr>
      <w:rPr>
        <w:rFonts w:ascii="Symbol" w:hAnsi="Symbol" w:hint="default"/>
      </w:rPr>
    </w:lvl>
    <w:lvl w:ilvl="4" w:tplc="546C1E0C" w:tentative="1">
      <w:start w:val="1"/>
      <w:numFmt w:val="bullet"/>
      <w:lvlText w:val="o"/>
      <w:lvlJc w:val="left"/>
      <w:pPr>
        <w:ind w:left="5040" w:hanging="360"/>
      </w:pPr>
      <w:rPr>
        <w:rFonts w:ascii="Courier New" w:hAnsi="Courier New" w:cs="Courier New" w:hint="default"/>
      </w:rPr>
    </w:lvl>
    <w:lvl w:ilvl="5" w:tplc="255CB996" w:tentative="1">
      <w:start w:val="1"/>
      <w:numFmt w:val="bullet"/>
      <w:lvlText w:val=""/>
      <w:lvlJc w:val="left"/>
      <w:pPr>
        <w:ind w:left="5760" w:hanging="360"/>
      </w:pPr>
      <w:rPr>
        <w:rFonts w:ascii="Wingdings" w:hAnsi="Wingdings" w:hint="default"/>
      </w:rPr>
    </w:lvl>
    <w:lvl w:ilvl="6" w:tplc="55A65DBC" w:tentative="1">
      <w:start w:val="1"/>
      <w:numFmt w:val="bullet"/>
      <w:lvlText w:val=""/>
      <w:lvlJc w:val="left"/>
      <w:pPr>
        <w:ind w:left="6480" w:hanging="360"/>
      </w:pPr>
      <w:rPr>
        <w:rFonts w:ascii="Symbol" w:hAnsi="Symbol" w:hint="default"/>
      </w:rPr>
    </w:lvl>
    <w:lvl w:ilvl="7" w:tplc="63CAAC9A" w:tentative="1">
      <w:start w:val="1"/>
      <w:numFmt w:val="bullet"/>
      <w:lvlText w:val="o"/>
      <w:lvlJc w:val="left"/>
      <w:pPr>
        <w:ind w:left="7200" w:hanging="360"/>
      </w:pPr>
      <w:rPr>
        <w:rFonts w:ascii="Courier New" w:hAnsi="Courier New" w:cs="Courier New" w:hint="default"/>
      </w:rPr>
    </w:lvl>
    <w:lvl w:ilvl="8" w:tplc="21D0B488" w:tentative="1">
      <w:start w:val="1"/>
      <w:numFmt w:val="bullet"/>
      <w:lvlText w:val=""/>
      <w:lvlJc w:val="left"/>
      <w:pPr>
        <w:ind w:left="7920" w:hanging="360"/>
      </w:pPr>
      <w:rPr>
        <w:rFonts w:ascii="Wingdings" w:hAnsi="Wingdings" w:hint="default"/>
      </w:rPr>
    </w:lvl>
  </w:abstractNum>
  <w:abstractNum w:abstractNumId="2" w15:restartNumberingAfterBreak="0">
    <w:nsid w:val="1B3C75F9"/>
    <w:multiLevelType w:val="hybridMultilevel"/>
    <w:tmpl w:val="199AB0E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DB0E65"/>
    <w:multiLevelType w:val="hybridMultilevel"/>
    <w:tmpl w:val="3DA0B354"/>
    <w:lvl w:ilvl="0" w:tplc="0C09001B">
      <w:start w:val="1"/>
      <w:numFmt w:val="lowerRoman"/>
      <w:lvlText w:val="%1."/>
      <w:lvlJc w:val="righ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 w15:restartNumberingAfterBreak="0">
    <w:nsid w:val="329A6ABE"/>
    <w:multiLevelType w:val="hybridMultilevel"/>
    <w:tmpl w:val="A30C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8D7CB9"/>
    <w:multiLevelType w:val="multilevel"/>
    <w:tmpl w:val="3B38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5728C5"/>
    <w:multiLevelType w:val="multilevel"/>
    <w:tmpl w:val="9704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B00D6C"/>
    <w:multiLevelType w:val="multilevel"/>
    <w:tmpl w:val="465ED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5007E1"/>
    <w:multiLevelType w:val="multilevel"/>
    <w:tmpl w:val="C812FD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C23AA1"/>
    <w:multiLevelType w:val="hybridMultilevel"/>
    <w:tmpl w:val="DC623D06"/>
    <w:lvl w:ilvl="0" w:tplc="CC903188">
      <w:start w:val="1"/>
      <w:numFmt w:val="bullet"/>
      <w:lvlText w:val=""/>
      <w:lvlJc w:val="left"/>
      <w:pPr>
        <w:ind w:left="2520" w:hanging="360"/>
      </w:pPr>
      <w:rPr>
        <w:rFonts w:ascii="Symbol" w:hAnsi="Symbol" w:hint="default"/>
      </w:rPr>
    </w:lvl>
    <w:lvl w:ilvl="1" w:tplc="B30A0B76" w:tentative="1">
      <w:start w:val="1"/>
      <w:numFmt w:val="bullet"/>
      <w:lvlText w:val="o"/>
      <w:lvlJc w:val="left"/>
      <w:pPr>
        <w:ind w:left="3240" w:hanging="360"/>
      </w:pPr>
      <w:rPr>
        <w:rFonts w:ascii="Courier New" w:hAnsi="Courier New" w:cs="Courier New" w:hint="default"/>
      </w:rPr>
    </w:lvl>
    <w:lvl w:ilvl="2" w:tplc="2802390C" w:tentative="1">
      <w:start w:val="1"/>
      <w:numFmt w:val="bullet"/>
      <w:lvlText w:val=""/>
      <w:lvlJc w:val="left"/>
      <w:pPr>
        <w:ind w:left="3960" w:hanging="360"/>
      </w:pPr>
      <w:rPr>
        <w:rFonts w:ascii="Wingdings" w:hAnsi="Wingdings" w:hint="default"/>
      </w:rPr>
    </w:lvl>
    <w:lvl w:ilvl="3" w:tplc="D49AA1F8" w:tentative="1">
      <w:start w:val="1"/>
      <w:numFmt w:val="bullet"/>
      <w:lvlText w:val=""/>
      <w:lvlJc w:val="left"/>
      <w:pPr>
        <w:ind w:left="4680" w:hanging="360"/>
      </w:pPr>
      <w:rPr>
        <w:rFonts w:ascii="Symbol" w:hAnsi="Symbol" w:hint="default"/>
      </w:rPr>
    </w:lvl>
    <w:lvl w:ilvl="4" w:tplc="2ADCC454" w:tentative="1">
      <w:start w:val="1"/>
      <w:numFmt w:val="bullet"/>
      <w:lvlText w:val="o"/>
      <w:lvlJc w:val="left"/>
      <w:pPr>
        <w:ind w:left="5400" w:hanging="360"/>
      </w:pPr>
      <w:rPr>
        <w:rFonts w:ascii="Courier New" w:hAnsi="Courier New" w:cs="Courier New" w:hint="default"/>
      </w:rPr>
    </w:lvl>
    <w:lvl w:ilvl="5" w:tplc="7B1EC52A" w:tentative="1">
      <w:start w:val="1"/>
      <w:numFmt w:val="bullet"/>
      <w:lvlText w:val=""/>
      <w:lvlJc w:val="left"/>
      <w:pPr>
        <w:ind w:left="6120" w:hanging="360"/>
      </w:pPr>
      <w:rPr>
        <w:rFonts w:ascii="Wingdings" w:hAnsi="Wingdings" w:hint="default"/>
      </w:rPr>
    </w:lvl>
    <w:lvl w:ilvl="6" w:tplc="8AD6BC38" w:tentative="1">
      <w:start w:val="1"/>
      <w:numFmt w:val="bullet"/>
      <w:lvlText w:val=""/>
      <w:lvlJc w:val="left"/>
      <w:pPr>
        <w:ind w:left="6840" w:hanging="360"/>
      </w:pPr>
      <w:rPr>
        <w:rFonts w:ascii="Symbol" w:hAnsi="Symbol" w:hint="default"/>
      </w:rPr>
    </w:lvl>
    <w:lvl w:ilvl="7" w:tplc="67C8E162" w:tentative="1">
      <w:start w:val="1"/>
      <w:numFmt w:val="bullet"/>
      <w:lvlText w:val="o"/>
      <w:lvlJc w:val="left"/>
      <w:pPr>
        <w:ind w:left="7560" w:hanging="360"/>
      </w:pPr>
      <w:rPr>
        <w:rFonts w:ascii="Courier New" w:hAnsi="Courier New" w:cs="Courier New" w:hint="default"/>
      </w:rPr>
    </w:lvl>
    <w:lvl w:ilvl="8" w:tplc="0E0AD71A" w:tentative="1">
      <w:start w:val="1"/>
      <w:numFmt w:val="bullet"/>
      <w:lvlText w:val=""/>
      <w:lvlJc w:val="left"/>
      <w:pPr>
        <w:ind w:left="8280" w:hanging="360"/>
      </w:pPr>
      <w:rPr>
        <w:rFonts w:ascii="Wingdings" w:hAnsi="Wingdings" w:hint="default"/>
      </w:rPr>
    </w:lvl>
  </w:abstractNum>
  <w:abstractNum w:abstractNumId="10" w15:restartNumberingAfterBreak="0">
    <w:nsid w:val="5B7F6B75"/>
    <w:multiLevelType w:val="hybridMultilevel"/>
    <w:tmpl w:val="8E223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ED7F7E"/>
    <w:multiLevelType w:val="multilevel"/>
    <w:tmpl w:val="BA722D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E500C3"/>
    <w:multiLevelType w:val="hybridMultilevel"/>
    <w:tmpl w:val="B3A8D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5D4FD6"/>
    <w:multiLevelType w:val="multilevel"/>
    <w:tmpl w:val="3790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F2034F"/>
    <w:multiLevelType w:val="hybridMultilevel"/>
    <w:tmpl w:val="85241FE4"/>
    <w:lvl w:ilvl="0" w:tplc="D6B0D9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D741CC"/>
    <w:multiLevelType w:val="multilevel"/>
    <w:tmpl w:val="C87A6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9280514">
    <w:abstractNumId w:val="6"/>
  </w:num>
  <w:num w:numId="2" w16cid:durableId="640767612">
    <w:abstractNumId w:val="7"/>
  </w:num>
  <w:num w:numId="3" w16cid:durableId="1212379027">
    <w:abstractNumId w:val="0"/>
  </w:num>
  <w:num w:numId="4" w16cid:durableId="839127663">
    <w:abstractNumId w:val="8"/>
  </w:num>
  <w:num w:numId="5" w16cid:durableId="1020935796">
    <w:abstractNumId w:val="11"/>
  </w:num>
  <w:num w:numId="6" w16cid:durableId="578322267">
    <w:abstractNumId w:val="15"/>
  </w:num>
  <w:num w:numId="7" w16cid:durableId="900596820">
    <w:abstractNumId w:val="13"/>
  </w:num>
  <w:num w:numId="8" w16cid:durableId="566720940">
    <w:abstractNumId w:val="5"/>
  </w:num>
  <w:num w:numId="9" w16cid:durableId="1813139490">
    <w:abstractNumId w:val="9"/>
  </w:num>
  <w:num w:numId="10" w16cid:durableId="1292446299">
    <w:abstractNumId w:val="1"/>
  </w:num>
  <w:num w:numId="11" w16cid:durableId="1469742841">
    <w:abstractNumId w:val="3"/>
  </w:num>
  <w:num w:numId="12" w16cid:durableId="1513760955">
    <w:abstractNumId w:val="14"/>
  </w:num>
  <w:num w:numId="13" w16cid:durableId="708796055">
    <w:abstractNumId w:val="12"/>
  </w:num>
  <w:num w:numId="14" w16cid:durableId="2093040784">
    <w:abstractNumId w:val="10"/>
  </w:num>
  <w:num w:numId="15" w16cid:durableId="565334758">
    <w:abstractNumId w:val="4"/>
  </w:num>
  <w:num w:numId="16" w16cid:durableId="203850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7E"/>
    <w:rsid w:val="00000748"/>
    <w:rsid w:val="00032511"/>
    <w:rsid w:val="00050646"/>
    <w:rsid w:val="000652CC"/>
    <w:rsid w:val="0006614E"/>
    <w:rsid w:val="000B6133"/>
    <w:rsid w:val="000C0716"/>
    <w:rsid w:val="000D0DA4"/>
    <w:rsid w:val="00154F7F"/>
    <w:rsid w:val="00156B72"/>
    <w:rsid w:val="001702FE"/>
    <w:rsid w:val="001772E4"/>
    <w:rsid w:val="001A0146"/>
    <w:rsid w:val="001B33C7"/>
    <w:rsid w:val="001F54FE"/>
    <w:rsid w:val="00235F92"/>
    <w:rsid w:val="002379B9"/>
    <w:rsid w:val="0024758D"/>
    <w:rsid w:val="00255436"/>
    <w:rsid w:val="002619BA"/>
    <w:rsid w:val="00262D12"/>
    <w:rsid w:val="00287812"/>
    <w:rsid w:val="002907FC"/>
    <w:rsid w:val="002933C0"/>
    <w:rsid w:val="00296FE6"/>
    <w:rsid w:val="00297F21"/>
    <w:rsid w:val="002A08D9"/>
    <w:rsid w:val="002A333C"/>
    <w:rsid w:val="002B4D10"/>
    <w:rsid w:val="002C3BAA"/>
    <w:rsid w:val="002D69D0"/>
    <w:rsid w:val="002D7555"/>
    <w:rsid w:val="003130C6"/>
    <w:rsid w:val="0032762D"/>
    <w:rsid w:val="003335F6"/>
    <w:rsid w:val="00380FBF"/>
    <w:rsid w:val="003941A0"/>
    <w:rsid w:val="003947BF"/>
    <w:rsid w:val="003A4BA2"/>
    <w:rsid w:val="003C0160"/>
    <w:rsid w:val="00412264"/>
    <w:rsid w:val="0046450C"/>
    <w:rsid w:val="004A1825"/>
    <w:rsid w:val="004B08BC"/>
    <w:rsid w:val="004E5A3E"/>
    <w:rsid w:val="00544331"/>
    <w:rsid w:val="0055550D"/>
    <w:rsid w:val="005745F2"/>
    <w:rsid w:val="005749AB"/>
    <w:rsid w:val="00582E51"/>
    <w:rsid w:val="0059553D"/>
    <w:rsid w:val="005A2C7E"/>
    <w:rsid w:val="005D5047"/>
    <w:rsid w:val="005D64C6"/>
    <w:rsid w:val="005E61BE"/>
    <w:rsid w:val="00612309"/>
    <w:rsid w:val="00621466"/>
    <w:rsid w:val="00651460"/>
    <w:rsid w:val="0066282D"/>
    <w:rsid w:val="006648BB"/>
    <w:rsid w:val="006926B1"/>
    <w:rsid w:val="006A1CA1"/>
    <w:rsid w:val="006A65C6"/>
    <w:rsid w:val="006E5A93"/>
    <w:rsid w:val="006E6B64"/>
    <w:rsid w:val="006F544F"/>
    <w:rsid w:val="00727247"/>
    <w:rsid w:val="0074078A"/>
    <w:rsid w:val="007424A0"/>
    <w:rsid w:val="007A5850"/>
    <w:rsid w:val="007B71A7"/>
    <w:rsid w:val="007C27C6"/>
    <w:rsid w:val="007C7AD4"/>
    <w:rsid w:val="007E3379"/>
    <w:rsid w:val="007F2A21"/>
    <w:rsid w:val="00803BDC"/>
    <w:rsid w:val="00803EEC"/>
    <w:rsid w:val="00810C3E"/>
    <w:rsid w:val="00813E56"/>
    <w:rsid w:val="008165FC"/>
    <w:rsid w:val="00854D55"/>
    <w:rsid w:val="008A1AF9"/>
    <w:rsid w:val="008B5A56"/>
    <w:rsid w:val="009022C1"/>
    <w:rsid w:val="009468DB"/>
    <w:rsid w:val="009A4F96"/>
    <w:rsid w:val="009B2314"/>
    <w:rsid w:val="009C37B0"/>
    <w:rsid w:val="009D3AC8"/>
    <w:rsid w:val="009E51E1"/>
    <w:rsid w:val="00A234C1"/>
    <w:rsid w:val="00A41232"/>
    <w:rsid w:val="00A66E65"/>
    <w:rsid w:val="00A75519"/>
    <w:rsid w:val="00A85B39"/>
    <w:rsid w:val="00AA429C"/>
    <w:rsid w:val="00AB5F3C"/>
    <w:rsid w:val="00AE0B58"/>
    <w:rsid w:val="00AE16CD"/>
    <w:rsid w:val="00AE699B"/>
    <w:rsid w:val="00B055E8"/>
    <w:rsid w:val="00B22258"/>
    <w:rsid w:val="00B23B99"/>
    <w:rsid w:val="00B25AE4"/>
    <w:rsid w:val="00B27828"/>
    <w:rsid w:val="00B53546"/>
    <w:rsid w:val="00B80491"/>
    <w:rsid w:val="00BA20FB"/>
    <w:rsid w:val="00BD1A1B"/>
    <w:rsid w:val="00BE28A2"/>
    <w:rsid w:val="00BE4D3F"/>
    <w:rsid w:val="00C0623C"/>
    <w:rsid w:val="00C24CE3"/>
    <w:rsid w:val="00C32868"/>
    <w:rsid w:val="00C63B9E"/>
    <w:rsid w:val="00C970BE"/>
    <w:rsid w:val="00CA64E7"/>
    <w:rsid w:val="00CE07F9"/>
    <w:rsid w:val="00CE21FB"/>
    <w:rsid w:val="00D003FF"/>
    <w:rsid w:val="00D043EB"/>
    <w:rsid w:val="00D0798E"/>
    <w:rsid w:val="00D16193"/>
    <w:rsid w:val="00D6315C"/>
    <w:rsid w:val="00D7704B"/>
    <w:rsid w:val="00D81177"/>
    <w:rsid w:val="00D96E92"/>
    <w:rsid w:val="00DB0813"/>
    <w:rsid w:val="00DC4F5B"/>
    <w:rsid w:val="00DD2BDC"/>
    <w:rsid w:val="00DF1D27"/>
    <w:rsid w:val="00DF3B57"/>
    <w:rsid w:val="00E16654"/>
    <w:rsid w:val="00E25DD7"/>
    <w:rsid w:val="00E30E19"/>
    <w:rsid w:val="00E50B0B"/>
    <w:rsid w:val="00E54E64"/>
    <w:rsid w:val="00E67233"/>
    <w:rsid w:val="00E9525D"/>
    <w:rsid w:val="00EA5325"/>
    <w:rsid w:val="00EA6837"/>
    <w:rsid w:val="00EB07F7"/>
    <w:rsid w:val="00EB3601"/>
    <w:rsid w:val="00EB6727"/>
    <w:rsid w:val="00EE3FDA"/>
    <w:rsid w:val="00F06921"/>
    <w:rsid w:val="00FC6D1C"/>
    <w:rsid w:val="00FC728A"/>
    <w:rsid w:val="00FD5D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B954"/>
  <w15:chartTrackingRefBased/>
  <w15:docId w15:val="{414A0682-5678-4BA6-98E8-2DFC7AC1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EB"/>
    <w:pPr>
      <w:spacing w:after="120" w:line="288" w:lineRule="auto"/>
    </w:pPr>
    <w:rPr>
      <w:rFonts w:ascii="Verdana" w:hAnsi="Verdana"/>
      <w:sz w:val="24"/>
      <w:lang w:val="en-AU"/>
    </w:rPr>
  </w:style>
  <w:style w:type="paragraph" w:styleId="Heading1">
    <w:name w:val="heading 1"/>
    <w:basedOn w:val="Normal"/>
    <w:next w:val="Normal"/>
    <w:link w:val="Heading1Char"/>
    <w:uiPriority w:val="9"/>
    <w:qFormat/>
    <w:rsid w:val="00810C3E"/>
    <w:pPr>
      <w:keepNext/>
      <w:keepLines/>
      <w:spacing w:before="240" w:after="0" w:line="360" w:lineRule="auto"/>
      <w:outlineLvl w:val="0"/>
    </w:pPr>
    <w:rPr>
      <w:rFonts w:eastAsiaTheme="majorEastAsia" w:cstheme="majorBidi"/>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1702FE"/>
    <w:pPr>
      <w:spacing w:after="0" w:line="240" w:lineRule="auto"/>
      <w:textAlignment w:val="baseline"/>
      <w:outlineLvl w:val="1"/>
    </w:pPr>
    <w:rPr>
      <w:rFonts w:eastAsia="Times New Roman" w:cs="Segoe UI"/>
      <w:b/>
      <w:bCs/>
      <w:color w:val="000000"/>
      <w:kern w:val="0"/>
      <w:szCs w:val="24"/>
      <w:shd w:val="clear" w:color="auto" w:fill="FFFFFF"/>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3EB"/>
    <w:pPr>
      <w:ind w:left="720"/>
    </w:pPr>
  </w:style>
  <w:style w:type="paragraph" w:styleId="Revision">
    <w:name w:val="Revision"/>
    <w:hidden/>
    <w:uiPriority w:val="99"/>
    <w:semiHidden/>
    <w:rsid w:val="005A2C7E"/>
    <w:pPr>
      <w:spacing w:after="0" w:line="240" w:lineRule="auto"/>
    </w:pPr>
    <w:rPr>
      <w:lang w:val="en-AU"/>
    </w:rPr>
  </w:style>
  <w:style w:type="character" w:styleId="CommentReference">
    <w:name w:val="annotation reference"/>
    <w:basedOn w:val="DefaultParagraphFont"/>
    <w:uiPriority w:val="99"/>
    <w:semiHidden/>
    <w:unhideWhenUsed/>
    <w:rsid w:val="008165FC"/>
    <w:rPr>
      <w:sz w:val="16"/>
      <w:szCs w:val="16"/>
    </w:rPr>
  </w:style>
  <w:style w:type="paragraph" w:styleId="CommentText">
    <w:name w:val="annotation text"/>
    <w:basedOn w:val="Normal"/>
    <w:link w:val="CommentTextChar"/>
    <w:uiPriority w:val="99"/>
    <w:unhideWhenUsed/>
    <w:rsid w:val="008165FC"/>
    <w:pPr>
      <w:spacing w:line="240" w:lineRule="auto"/>
    </w:pPr>
    <w:rPr>
      <w:sz w:val="20"/>
      <w:szCs w:val="20"/>
    </w:rPr>
  </w:style>
  <w:style w:type="character" w:customStyle="1" w:styleId="CommentTextChar">
    <w:name w:val="Comment Text Char"/>
    <w:basedOn w:val="DefaultParagraphFont"/>
    <w:link w:val="CommentText"/>
    <w:uiPriority w:val="99"/>
    <w:rsid w:val="008165FC"/>
    <w:rPr>
      <w:sz w:val="20"/>
      <w:szCs w:val="20"/>
      <w:lang w:val="en-AU"/>
    </w:rPr>
  </w:style>
  <w:style w:type="paragraph" w:styleId="CommentSubject">
    <w:name w:val="annotation subject"/>
    <w:basedOn w:val="CommentText"/>
    <w:next w:val="CommentText"/>
    <w:link w:val="CommentSubjectChar"/>
    <w:uiPriority w:val="99"/>
    <w:semiHidden/>
    <w:unhideWhenUsed/>
    <w:rsid w:val="008165FC"/>
    <w:rPr>
      <w:b/>
      <w:bCs/>
    </w:rPr>
  </w:style>
  <w:style w:type="character" w:customStyle="1" w:styleId="CommentSubjectChar">
    <w:name w:val="Comment Subject Char"/>
    <w:basedOn w:val="CommentTextChar"/>
    <w:link w:val="CommentSubject"/>
    <w:uiPriority w:val="99"/>
    <w:semiHidden/>
    <w:rsid w:val="008165FC"/>
    <w:rPr>
      <w:b/>
      <w:bCs/>
      <w:sz w:val="20"/>
      <w:szCs w:val="20"/>
      <w:lang w:val="en-AU"/>
    </w:rPr>
  </w:style>
  <w:style w:type="character" w:styleId="Hyperlink">
    <w:name w:val="Hyperlink"/>
    <w:basedOn w:val="DefaultParagraphFont"/>
    <w:uiPriority w:val="99"/>
    <w:unhideWhenUsed/>
    <w:rsid w:val="006A1CA1"/>
    <w:rPr>
      <w:color w:val="0000FF" w:themeColor="hyperlink"/>
      <w:u w:val="single"/>
    </w:rPr>
  </w:style>
  <w:style w:type="character" w:styleId="UnresolvedMention">
    <w:name w:val="Unresolved Mention"/>
    <w:basedOn w:val="DefaultParagraphFont"/>
    <w:uiPriority w:val="99"/>
    <w:semiHidden/>
    <w:unhideWhenUsed/>
    <w:rsid w:val="006A1CA1"/>
    <w:rPr>
      <w:color w:val="605E5C"/>
      <w:shd w:val="clear" w:color="auto" w:fill="E1DFDD"/>
    </w:rPr>
  </w:style>
  <w:style w:type="paragraph" w:styleId="NormalWeb">
    <w:name w:val="Normal (Web)"/>
    <w:basedOn w:val="Normal"/>
    <w:uiPriority w:val="99"/>
    <w:unhideWhenUsed/>
    <w:rsid w:val="002933C0"/>
    <w:pPr>
      <w:spacing w:before="100" w:beforeAutospacing="1" w:after="100" w:afterAutospacing="1" w:line="240" w:lineRule="auto"/>
    </w:pPr>
    <w:rPr>
      <w:rFonts w:ascii="Times New Roman" w:eastAsia="Times New Roman" w:hAnsi="Times New Roman" w:cs="Times New Roman"/>
      <w:kern w:val="0"/>
      <w:szCs w:val="24"/>
      <w:lang w:val="en-US"/>
      <w14:ligatures w14:val="none"/>
    </w:rPr>
  </w:style>
  <w:style w:type="character" w:customStyle="1" w:styleId="cf01">
    <w:name w:val="cf01"/>
    <w:basedOn w:val="DefaultParagraphFont"/>
    <w:rsid w:val="00B25AE4"/>
    <w:rPr>
      <w:rFonts w:ascii="Segoe UI" w:hAnsi="Segoe UI" w:cs="Segoe UI" w:hint="default"/>
      <w:sz w:val="18"/>
      <w:szCs w:val="18"/>
    </w:rPr>
  </w:style>
  <w:style w:type="paragraph" w:customStyle="1" w:styleId="pf0">
    <w:name w:val="pf0"/>
    <w:basedOn w:val="Normal"/>
    <w:rsid w:val="0066282D"/>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 w:type="character" w:customStyle="1" w:styleId="cf11">
    <w:name w:val="cf11"/>
    <w:basedOn w:val="DefaultParagraphFont"/>
    <w:rsid w:val="0066282D"/>
    <w:rPr>
      <w:rFonts w:ascii="Segoe UI" w:hAnsi="Segoe UI" w:cs="Segoe UI" w:hint="default"/>
      <w:color w:val="212121"/>
      <w:sz w:val="18"/>
      <w:szCs w:val="18"/>
      <w:shd w:val="clear" w:color="auto" w:fill="FFFFFF"/>
    </w:rPr>
  </w:style>
  <w:style w:type="paragraph" w:styleId="BalloonText">
    <w:name w:val="Balloon Text"/>
    <w:basedOn w:val="Normal"/>
    <w:link w:val="BalloonTextChar"/>
    <w:uiPriority w:val="99"/>
    <w:semiHidden/>
    <w:unhideWhenUsed/>
    <w:rsid w:val="00E25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DD7"/>
    <w:rPr>
      <w:rFonts w:ascii="Segoe UI" w:hAnsi="Segoe UI" w:cs="Segoe UI"/>
      <w:sz w:val="18"/>
      <w:szCs w:val="18"/>
      <w:lang w:val="en-AU"/>
    </w:rPr>
  </w:style>
  <w:style w:type="paragraph" w:styleId="Title">
    <w:name w:val="Title"/>
    <w:basedOn w:val="Normal"/>
    <w:next w:val="Normal"/>
    <w:link w:val="TitleChar"/>
    <w:uiPriority w:val="10"/>
    <w:qFormat/>
    <w:rsid w:val="00BD1A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A1B"/>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uiPriority w:val="9"/>
    <w:rsid w:val="00810C3E"/>
    <w:rPr>
      <w:rFonts w:ascii="Verdana" w:eastAsiaTheme="majorEastAsia" w:hAnsi="Verdana" w:cstheme="majorBidi"/>
      <w:color w:val="365F91" w:themeColor="accent1" w:themeShade="BF"/>
      <w:sz w:val="28"/>
      <w:szCs w:val="28"/>
      <w:lang w:val="en-AU" w:eastAsia="en-AU"/>
    </w:rPr>
  </w:style>
  <w:style w:type="character" w:customStyle="1" w:styleId="Heading2Char">
    <w:name w:val="Heading 2 Char"/>
    <w:basedOn w:val="DefaultParagraphFont"/>
    <w:link w:val="Heading2"/>
    <w:uiPriority w:val="9"/>
    <w:rsid w:val="001702FE"/>
    <w:rPr>
      <w:rFonts w:ascii="Verdana" w:eastAsia="Times New Roman" w:hAnsi="Verdana" w:cs="Segoe UI"/>
      <w:b/>
      <w:bCs/>
      <w:color w:val="000000"/>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63075">
      <w:bodyDiv w:val="1"/>
      <w:marLeft w:val="0"/>
      <w:marRight w:val="0"/>
      <w:marTop w:val="0"/>
      <w:marBottom w:val="0"/>
      <w:divBdr>
        <w:top w:val="none" w:sz="0" w:space="0" w:color="auto"/>
        <w:left w:val="none" w:sz="0" w:space="0" w:color="auto"/>
        <w:bottom w:val="none" w:sz="0" w:space="0" w:color="auto"/>
        <w:right w:val="none" w:sz="0" w:space="0" w:color="auto"/>
      </w:divBdr>
    </w:div>
    <w:div w:id="983660709">
      <w:bodyDiv w:val="1"/>
      <w:marLeft w:val="0"/>
      <w:marRight w:val="0"/>
      <w:marTop w:val="0"/>
      <w:marBottom w:val="0"/>
      <w:divBdr>
        <w:top w:val="none" w:sz="0" w:space="0" w:color="auto"/>
        <w:left w:val="none" w:sz="0" w:space="0" w:color="auto"/>
        <w:bottom w:val="none" w:sz="0" w:space="0" w:color="auto"/>
        <w:right w:val="none" w:sz="0" w:space="0" w:color="auto"/>
      </w:divBdr>
    </w:div>
    <w:div w:id="19409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raliancurriculum.edu.au/f-10-curriculum/languages/student-diversity/" TargetMode="External"/><Relationship Id="rId13" Type="http://schemas.openxmlformats.org/officeDocument/2006/relationships/hyperlink" Target="https://doi.org/10.1787/9789264091450-en" TargetMode="External"/><Relationship Id="rId18" Type="http://schemas.openxmlformats.org/officeDocument/2006/relationships/hyperlink" Target="https://icevi.org/other-publications/" TargetMode="External"/><Relationship Id="rId3" Type="http://schemas.openxmlformats.org/officeDocument/2006/relationships/styles" Target="styles.xml"/><Relationship Id="rId7" Type="http://schemas.openxmlformats.org/officeDocument/2006/relationships/hyperlink" Target="https://www.australiancurriculum.edu.au/resources/national-literacy-and-numeracy-learning-progressions/national-literacy-learning-progression/what-is-literacy/" TargetMode="External"/><Relationship Id="rId12" Type="http://schemas.openxmlformats.org/officeDocument/2006/relationships/hyperlink" Target="https://doi.org/10.1177/0145482X0009401102" TargetMode="External"/><Relationship Id="rId17" Type="http://schemas.openxmlformats.org/officeDocument/2006/relationships/hyperlink" Target="https://www.gettingintouchwithliteracy.org/" TargetMode="External"/><Relationship Id="rId2" Type="http://schemas.openxmlformats.org/officeDocument/2006/relationships/numbering" Target="numbering.xml"/><Relationship Id="rId16" Type="http://schemas.openxmlformats.org/officeDocument/2006/relationships/hyperlink" Target="https://www.un.org/disabilities/documents/convention/convention_accessible_pdf.p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007/s11525-023-09413-8" TargetMode="External"/><Relationship Id="rId5" Type="http://schemas.openxmlformats.org/officeDocument/2006/relationships/webSettings" Target="webSettings.xml"/><Relationship Id="rId15" Type="http://schemas.openxmlformats.org/officeDocument/2006/relationships/hyperlink" Target="https:///www.unesco.org/en/literacy/need-know" TargetMode="External"/><Relationship Id="rId10" Type="http://schemas.openxmlformats.org/officeDocument/2006/relationships/hyperlink" Target="https://doi.org/10.1177/0145482X020960050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au/C2004A04426/latest/text" TargetMode="External"/><Relationship Id="rId14" Type="http://schemas.openxmlformats.org/officeDocument/2006/relationships/hyperlink" Target="https://www.spevi.net/professional-standards-elabo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4FA5C-6E01-4C54-BB99-596C480311C9}">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2926</Words>
  <Characters>17588</Characters>
  <Application>Microsoft Office Word</Application>
  <DocSecurity>0</DocSecurity>
  <Lines>331</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Minniss</dc:creator>
  <cp:keywords/>
  <dc:description/>
  <cp:lastModifiedBy>Phia Damsma</cp:lastModifiedBy>
  <cp:revision>3</cp:revision>
  <cp:lastPrinted>2024-03-12T06:31:00Z</cp:lastPrinted>
  <dcterms:created xsi:type="dcterms:W3CDTF">2024-08-22T05:22:00Z</dcterms:created>
  <dcterms:modified xsi:type="dcterms:W3CDTF">2024-08-22T05:27:00Z</dcterms:modified>
</cp:coreProperties>
</file>